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8A7" w:rsidRDefault="004758A7" w:rsidP="004758A7">
      <w:pPr>
        <w:pStyle w:val="DHHSbody"/>
      </w:pPr>
      <w:bookmarkStart w:id="0" w:name="_GoBack"/>
      <w:bookmarkEnd w:id="0"/>
      <w:r>
        <w:rPr>
          <w:noProof/>
        </w:rPr>
        <w:drawing>
          <wp:anchor distT="0" distB="0" distL="114300" distR="114300" simplePos="0" relativeHeight="251659264" behindDoc="1" locked="0" layoutInCell="0" allowOverlap="1" wp14:anchorId="5BFE835A" wp14:editId="4E020C67">
            <wp:simplePos x="0" y="0"/>
            <wp:positionH relativeFrom="page">
              <wp:posOffset>0</wp:posOffset>
            </wp:positionH>
            <wp:positionV relativeFrom="page">
              <wp:posOffset>0</wp:posOffset>
            </wp:positionV>
            <wp:extent cx="7563485" cy="10699115"/>
            <wp:effectExtent l="0" t="0" r="0" b="6985"/>
            <wp:wrapNone/>
            <wp:docPr id="2" name="Picture 99"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Victoria State Government Department of Health and Human Services"/>
                    <pic:cNvPicPr>
                      <a:picLocks noChangeAspect="1" noChangeArrowheads="1"/>
                    </pic:cNvPicPr>
                  </pic:nvPicPr>
                  <pic:blipFill>
                    <a:blip r:embed="rId8"/>
                    <a:stretch>
                      <a:fillRect/>
                    </a:stretch>
                  </pic:blipFill>
                  <pic:spPr bwMode="auto">
                    <a:xfrm>
                      <a:off x="0" y="0"/>
                      <a:ext cx="7563485" cy="10699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2D07" w:rsidRPr="003072C6" w:rsidRDefault="0071797D" w:rsidP="00A94D93">
      <w:pPr>
        <w:pStyle w:val="DHHSreportmaintitlecover"/>
      </w:pPr>
      <w:r>
        <w:t xml:space="preserve">RentAssist Bond </w:t>
      </w:r>
      <w:r w:rsidR="00331399">
        <w:t>online form</w:t>
      </w:r>
    </w:p>
    <w:p w:rsidR="00742D07" w:rsidRPr="003072C6" w:rsidRDefault="0071797D" w:rsidP="00E91933">
      <w:pPr>
        <w:pStyle w:val="DHHSreportsubtitlecover"/>
      </w:pPr>
      <w:r>
        <w:t>Privacy Impact Assessment</w:t>
      </w:r>
    </w:p>
    <w:p w:rsidR="0069374A" w:rsidRPr="00256E7C" w:rsidRDefault="0069374A" w:rsidP="00256E7C">
      <w:pPr>
        <w:pStyle w:val="DHHSbody"/>
      </w:pPr>
    </w:p>
    <w:p w:rsidR="00C51B1C" w:rsidRPr="00256E7C" w:rsidRDefault="00C51B1C" w:rsidP="00256E7C">
      <w:pPr>
        <w:pStyle w:val="DHHSbody"/>
        <w:sectPr w:rsidR="00C51B1C" w:rsidRPr="00256E7C" w:rsidSect="00A94D93">
          <w:headerReference w:type="even" r:id="rId9"/>
          <w:headerReference w:type="default" r:id="rId10"/>
          <w:footerReference w:type="even" r:id="rId11"/>
          <w:footerReference w:type="default" r:id="rId12"/>
          <w:headerReference w:type="first" r:id="rId13"/>
          <w:footerReference w:type="first" r:id="rId14"/>
          <w:type w:val="oddPage"/>
          <w:pgSz w:w="11906" w:h="16838"/>
          <w:pgMar w:top="3969" w:right="1304" w:bottom="1134" w:left="1304" w:header="454" w:footer="567" w:gutter="0"/>
          <w:cols w:space="720"/>
          <w:docGrid w:linePitch="360"/>
        </w:sectPr>
      </w:pPr>
    </w:p>
    <w:p w:rsidR="006A18B6" w:rsidRDefault="006A18B6" w:rsidP="006A18B6">
      <w:pPr>
        <w:pStyle w:val="DHHSbody"/>
      </w:pPr>
    </w:p>
    <w:p w:rsidR="0071797D" w:rsidRPr="0071797D" w:rsidRDefault="0071797D" w:rsidP="0071797D"/>
    <w:p w:rsidR="0071797D" w:rsidRPr="0071797D" w:rsidRDefault="0071797D" w:rsidP="0071797D"/>
    <w:p w:rsidR="0071797D" w:rsidRPr="0071797D" w:rsidRDefault="0071797D" w:rsidP="0071797D"/>
    <w:p w:rsidR="0071797D" w:rsidRPr="0071797D" w:rsidRDefault="0071797D" w:rsidP="0071797D"/>
    <w:p w:rsidR="0071797D" w:rsidRPr="0071797D" w:rsidRDefault="0071797D" w:rsidP="0071797D"/>
    <w:p w:rsidR="0071797D" w:rsidRPr="0071797D" w:rsidRDefault="0071797D" w:rsidP="0071797D"/>
    <w:p w:rsidR="0071797D" w:rsidRPr="0071797D" w:rsidRDefault="0071797D" w:rsidP="0071797D"/>
    <w:p w:rsidR="0071797D" w:rsidRPr="0071797D" w:rsidRDefault="0071797D" w:rsidP="0071797D"/>
    <w:p w:rsidR="0071797D" w:rsidRPr="0071797D" w:rsidRDefault="0071797D" w:rsidP="0071797D"/>
    <w:p w:rsidR="0071797D" w:rsidRPr="0071797D" w:rsidRDefault="0071797D" w:rsidP="0071797D"/>
    <w:p w:rsidR="0071797D" w:rsidRPr="0071797D" w:rsidRDefault="0071797D" w:rsidP="0071797D"/>
    <w:p w:rsidR="0071797D" w:rsidRDefault="0071797D" w:rsidP="0071797D">
      <w:pPr>
        <w:rPr>
          <w:rFonts w:ascii="Arial" w:eastAsia="Times" w:hAnsi="Arial"/>
        </w:rPr>
      </w:pPr>
    </w:p>
    <w:p w:rsidR="00742D07" w:rsidRPr="00711B0C" w:rsidRDefault="0071797D" w:rsidP="006A18B6">
      <w:pPr>
        <w:pStyle w:val="DHHSreportmaintitle"/>
      </w:pPr>
      <w:r>
        <w:t xml:space="preserve">RentAssist Bond </w:t>
      </w:r>
      <w:r w:rsidR="00331399">
        <w:t>online form</w:t>
      </w:r>
    </w:p>
    <w:p w:rsidR="00742D07" w:rsidRPr="003072C6" w:rsidRDefault="0071797D" w:rsidP="006A18B6">
      <w:pPr>
        <w:pStyle w:val="DHHSreportsubtitle"/>
      </w:pPr>
      <w:r>
        <w:t>Privacy Impact Assessment</w:t>
      </w:r>
    </w:p>
    <w:p w:rsidR="00AC0C3B" w:rsidRPr="003072C6" w:rsidRDefault="00C81BA6" w:rsidP="00CA6D4E">
      <w:pPr>
        <w:pStyle w:val="DHHSbodynospace"/>
      </w:pPr>
      <w:r w:rsidRPr="003072C6">
        <w:br w:type="page"/>
      </w:r>
    </w:p>
    <w:p w:rsidR="00AC0C3B" w:rsidRPr="00711B0C" w:rsidRDefault="00AC0C3B" w:rsidP="00711B0C">
      <w:pPr>
        <w:pStyle w:val="DHHSTOCheadingreport"/>
      </w:pPr>
      <w:r w:rsidRPr="00711B0C">
        <w:lastRenderedPageBreak/>
        <w:t>Contents</w:t>
      </w:r>
    </w:p>
    <w:p w:rsidR="00992C30"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51847420" w:history="1">
        <w:r w:rsidR="00992C30" w:rsidRPr="003421AA">
          <w:rPr>
            <w:rStyle w:val="Hyperlink"/>
            <w:rFonts w:eastAsia="Arial"/>
            <w:w w:val="95"/>
          </w:rPr>
          <w:t>Introduction</w:t>
        </w:r>
        <w:r w:rsidR="00992C30">
          <w:rPr>
            <w:webHidden/>
          </w:rPr>
          <w:tab/>
        </w:r>
        <w:r w:rsidR="00992C30">
          <w:rPr>
            <w:webHidden/>
          </w:rPr>
          <w:fldChar w:fldCharType="begin"/>
        </w:r>
        <w:r w:rsidR="00992C30">
          <w:rPr>
            <w:webHidden/>
          </w:rPr>
          <w:instrText xml:space="preserve"> PAGEREF _Toc51847420 \h </w:instrText>
        </w:r>
        <w:r w:rsidR="00992C30">
          <w:rPr>
            <w:webHidden/>
          </w:rPr>
        </w:r>
        <w:r w:rsidR="00992C30">
          <w:rPr>
            <w:webHidden/>
          </w:rPr>
          <w:fldChar w:fldCharType="separate"/>
        </w:r>
        <w:r w:rsidR="00992C30">
          <w:rPr>
            <w:webHidden/>
          </w:rPr>
          <w:t>4</w:t>
        </w:r>
        <w:r w:rsidR="00992C30">
          <w:rPr>
            <w:webHidden/>
          </w:rPr>
          <w:fldChar w:fldCharType="end"/>
        </w:r>
      </w:hyperlink>
    </w:p>
    <w:p w:rsidR="00992C30" w:rsidRDefault="008B2230">
      <w:pPr>
        <w:pStyle w:val="TOC2"/>
        <w:rPr>
          <w:rFonts w:asciiTheme="minorHAnsi" w:eastAsiaTheme="minorEastAsia" w:hAnsiTheme="minorHAnsi" w:cstheme="minorBidi"/>
          <w:sz w:val="22"/>
          <w:szCs w:val="22"/>
          <w:lang w:eastAsia="en-AU"/>
        </w:rPr>
      </w:pPr>
      <w:hyperlink w:anchor="_Toc51847421" w:history="1">
        <w:r w:rsidR="00992C30" w:rsidRPr="003421AA">
          <w:rPr>
            <w:rStyle w:val="Hyperlink"/>
            <w:rFonts w:eastAsia="Arial"/>
          </w:rPr>
          <w:t>Description of program</w:t>
        </w:r>
        <w:r w:rsidR="00992C30">
          <w:rPr>
            <w:webHidden/>
          </w:rPr>
          <w:tab/>
        </w:r>
        <w:r w:rsidR="00992C30">
          <w:rPr>
            <w:webHidden/>
          </w:rPr>
          <w:fldChar w:fldCharType="begin"/>
        </w:r>
        <w:r w:rsidR="00992C30">
          <w:rPr>
            <w:webHidden/>
          </w:rPr>
          <w:instrText xml:space="preserve"> PAGEREF _Toc51847421 \h </w:instrText>
        </w:r>
        <w:r w:rsidR="00992C30">
          <w:rPr>
            <w:webHidden/>
          </w:rPr>
        </w:r>
        <w:r w:rsidR="00992C30">
          <w:rPr>
            <w:webHidden/>
          </w:rPr>
          <w:fldChar w:fldCharType="separate"/>
        </w:r>
        <w:r w:rsidR="00992C30">
          <w:rPr>
            <w:webHidden/>
          </w:rPr>
          <w:t>4</w:t>
        </w:r>
        <w:r w:rsidR="00992C30">
          <w:rPr>
            <w:webHidden/>
          </w:rPr>
          <w:fldChar w:fldCharType="end"/>
        </w:r>
      </w:hyperlink>
    </w:p>
    <w:p w:rsidR="00992C30" w:rsidRDefault="008B2230">
      <w:pPr>
        <w:pStyle w:val="TOC2"/>
        <w:rPr>
          <w:rFonts w:asciiTheme="minorHAnsi" w:eastAsiaTheme="minorEastAsia" w:hAnsiTheme="minorHAnsi" w:cstheme="minorBidi"/>
          <w:sz w:val="22"/>
          <w:szCs w:val="22"/>
          <w:lang w:eastAsia="en-AU"/>
        </w:rPr>
      </w:pPr>
      <w:hyperlink w:anchor="_Toc51847422" w:history="1">
        <w:r w:rsidR="00992C30" w:rsidRPr="003421AA">
          <w:rPr>
            <w:rStyle w:val="Hyperlink"/>
            <w:rFonts w:eastAsia="Arial"/>
          </w:rPr>
          <w:t>Scope of the assessment</w:t>
        </w:r>
        <w:r w:rsidR="00992C30">
          <w:rPr>
            <w:webHidden/>
          </w:rPr>
          <w:tab/>
        </w:r>
        <w:r w:rsidR="00992C30">
          <w:rPr>
            <w:webHidden/>
          </w:rPr>
          <w:fldChar w:fldCharType="begin"/>
        </w:r>
        <w:r w:rsidR="00992C30">
          <w:rPr>
            <w:webHidden/>
          </w:rPr>
          <w:instrText xml:space="preserve"> PAGEREF _Toc51847422 \h </w:instrText>
        </w:r>
        <w:r w:rsidR="00992C30">
          <w:rPr>
            <w:webHidden/>
          </w:rPr>
        </w:r>
        <w:r w:rsidR="00992C30">
          <w:rPr>
            <w:webHidden/>
          </w:rPr>
          <w:fldChar w:fldCharType="separate"/>
        </w:r>
        <w:r w:rsidR="00992C30">
          <w:rPr>
            <w:webHidden/>
          </w:rPr>
          <w:t>5</w:t>
        </w:r>
        <w:r w:rsidR="00992C30">
          <w:rPr>
            <w:webHidden/>
          </w:rPr>
          <w:fldChar w:fldCharType="end"/>
        </w:r>
      </w:hyperlink>
    </w:p>
    <w:p w:rsidR="00992C30" w:rsidRDefault="008B2230">
      <w:pPr>
        <w:pStyle w:val="TOC2"/>
        <w:rPr>
          <w:rFonts w:asciiTheme="minorHAnsi" w:eastAsiaTheme="minorEastAsia" w:hAnsiTheme="minorHAnsi" w:cstheme="minorBidi"/>
          <w:sz w:val="22"/>
          <w:szCs w:val="22"/>
          <w:lang w:eastAsia="en-AU"/>
        </w:rPr>
      </w:pPr>
      <w:hyperlink w:anchor="_Toc51847423" w:history="1">
        <w:r w:rsidR="00992C30" w:rsidRPr="003421AA">
          <w:rPr>
            <w:rStyle w:val="Hyperlink"/>
            <w:rFonts w:eastAsia="Arial"/>
          </w:rPr>
          <w:t>Roles in the assessment</w:t>
        </w:r>
        <w:r w:rsidR="00992C30">
          <w:rPr>
            <w:webHidden/>
          </w:rPr>
          <w:tab/>
        </w:r>
        <w:r w:rsidR="00992C30">
          <w:rPr>
            <w:webHidden/>
          </w:rPr>
          <w:fldChar w:fldCharType="begin"/>
        </w:r>
        <w:r w:rsidR="00992C30">
          <w:rPr>
            <w:webHidden/>
          </w:rPr>
          <w:instrText xml:space="preserve"> PAGEREF _Toc51847423 \h </w:instrText>
        </w:r>
        <w:r w:rsidR="00992C30">
          <w:rPr>
            <w:webHidden/>
          </w:rPr>
        </w:r>
        <w:r w:rsidR="00992C30">
          <w:rPr>
            <w:webHidden/>
          </w:rPr>
          <w:fldChar w:fldCharType="separate"/>
        </w:r>
        <w:r w:rsidR="00992C30">
          <w:rPr>
            <w:webHidden/>
          </w:rPr>
          <w:t>5</w:t>
        </w:r>
        <w:r w:rsidR="00992C30">
          <w:rPr>
            <w:webHidden/>
          </w:rPr>
          <w:fldChar w:fldCharType="end"/>
        </w:r>
      </w:hyperlink>
    </w:p>
    <w:p w:rsidR="00992C30" w:rsidRDefault="008B2230">
      <w:pPr>
        <w:pStyle w:val="TOC1"/>
        <w:rPr>
          <w:rFonts w:asciiTheme="minorHAnsi" w:eastAsiaTheme="minorEastAsia" w:hAnsiTheme="minorHAnsi" w:cstheme="minorBidi"/>
          <w:b w:val="0"/>
          <w:sz w:val="22"/>
          <w:szCs w:val="22"/>
          <w:lang w:eastAsia="en-AU"/>
        </w:rPr>
      </w:pPr>
      <w:hyperlink w:anchor="_Toc51847424" w:history="1">
        <w:r w:rsidR="00992C30" w:rsidRPr="003421AA">
          <w:rPr>
            <w:rStyle w:val="Hyperlink"/>
            <w:rFonts w:eastAsia="Arial"/>
            <w:w w:val="95"/>
          </w:rPr>
          <w:t>Information elements</w:t>
        </w:r>
        <w:r w:rsidR="00992C30">
          <w:rPr>
            <w:webHidden/>
          </w:rPr>
          <w:tab/>
        </w:r>
        <w:r w:rsidR="00992C30">
          <w:rPr>
            <w:webHidden/>
          </w:rPr>
          <w:fldChar w:fldCharType="begin"/>
        </w:r>
        <w:r w:rsidR="00992C30">
          <w:rPr>
            <w:webHidden/>
          </w:rPr>
          <w:instrText xml:space="preserve"> PAGEREF _Toc51847424 \h </w:instrText>
        </w:r>
        <w:r w:rsidR="00992C30">
          <w:rPr>
            <w:webHidden/>
          </w:rPr>
        </w:r>
        <w:r w:rsidR="00992C30">
          <w:rPr>
            <w:webHidden/>
          </w:rPr>
          <w:fldChar w:fldCharType="separate"/>
        </w:r>
        <w:r w:rsidR="00992C30">
          <w:rPr>
            <w:webHidden/>
          </w:rPr>
          <w:t>6</w:t>
        </w:r>
        <w:r w:rsidR="00992C30">
          <w:rPr>
            <w:webHidden/>
          </w:rPr>
          <w:fldChar w:fldCharType="end"/>
        </w:r>
      </w:hyperlink>
    </w:p>
    <w:p w:rsidR="00992C30" w:rsidRDefault="008B2230">
      <w:pPr>
        <w:pStyle w:val="TOC2"/>
        <w:rPr>
          <w:rFonts w:asciiTheme="minorHAnsi" w:eastAsiaTheme="minorEastAsia" w:hAnsiTheme="minorHAnsi" w:cstheme="minorBidi"/>
          <w:sz w:val="22"/>
          <w:szCs w:val="22"/>
          <w:lang w:eastAsia="en-AU"/>
        </w:rPr>
      </w:pPr>
      <w:hyperlink w:anchor="_Toc51847425" w:history="1">
        <w:r w:rsidR="00992C30" w:rsidRPr="003421AA">
          <w:rPr>
            <w:rStyle w:val="Hyperlink"/>
            <w:rFonts w:eastAsia="Arial"/>
          </w:rPr>
          <w:t>Personal information</w:t>
        </w:r>
        <w:r w:rsidR="00992C30">
          <w:rPr>
            <w:webHidden/>
          </w:rPr>
          <w:tab/>
        </w:r>
        <w:r w:rsidR="00992C30">
          <w:rPr>
            <w:webHidden/>
          </w:rPr>
          <w:fldChar w:fldCharType="begin"/>
        </w:r>
        <w:r w:rsidR="00992C30">
          <w:rPr>
            <w:webHidden/>
          </w:rPr>
          <w:instrText xml:space="preserve"> PAGEREF _Toc51847425 \h </w:instrText>
        </w:r>
        <w:r w:rsidR="00992C30">
          <w:rPr>
            <w:webHidden/>
          </w:rPr>
        </w:r>
        <w:r w:rsidR="00992C30">
          <w:rPr>
            <w:webHidden/>
          </w:rPr>
          <w:fldChar w:fldCharType="separate"/>
        </w:r>
        <w:r w:rsidR="00992C30">
          <w:rPr>
            <w:webHidden/>
          </w:rPr>
          <w:t>6</w:t>
        </w:r>
        <w:r w:rsidR="00992C30">
          <w:rPr>
            <w:webHidden/>
          </w:rPr>
          <w:fldChar w:fldCharType="end"/>
        </w:r>
      </w:hyperlink>
    </w:p>
    <w:p w:rsidR="00992C30" w:rsidRDefault="008B2230">
      <w:pPr>
        <w:pStyle w:val="TOC2"/>
        <w:rPr>
          <w:rFonts w:asciiTheme="minorHAnsi" w:eastAsiaTheme="minorEastAsia" w:hAnsiTheme="minorHAnsi" w:cstheme="minorBidi"/>
          <w:sz w:val="22"/>
          <w:szCs w:val="22"/>
          <w:lang w:eastAsia="en-AU"/>
        </w:rPr>
      </w:pPr>
      <w:hyperlink w:anchor="_Toc51847426" w:history="1">
        <w:r w:rsidR="00992C30" w:rsidRPr="003421AA">
          <w:rPr>
            <w:rStyle w:val="Hyperlink"/>
            <w:rFonts w:eastAsia="Arial"/>
          </w:rPr>
          <w:t>Health information</w:t>
        </w:r>
        <w:r w:rsidR="00992C30">
          <w:rPr>
            <w:webHidden/>
          </w:rPr>
          <w:tab/>
        </w:r>
        <w:r w:rsidR="00992C30">
          <w:rPr>
            <w:webHidden/>
          </w:rPr>
          <w:fldChar w:fldCharType="begin"/>
        </w:r>
        <w:r w:rsidR="00992C30">
          <w:rPr>
            <w:webHidden/>
          </w:rPr>
          <w:instrText xml:space="preserve"> PAGEREF _Toc51847426 \h </w:instrText>
        </w:r>
        <w:r w:rsidR="00992C30">
          <w:rPr>
            <w:webHidden/>
          </w:rPr>
        </w:r>
        <w:r w:rsidR="00992C30">
          <w:rPr>
            <w:webHidden/>
          </w:rPr>
          <w:fldChar w:fldCharType="separate"/>
        </w:r>
        <w:r w:rsidR="00992C30">
          <w:rPr>
            <w:webHidden/>
          </w:rPr>
          <w:t>6</w:t>
        </w:r>
        <w:r w:rsidR="00992C30">
          <w:rPr>
            <w:webHidden/>
          </w:rPr>
          <w:fldChar w:fldCharType="end"/>
        </w:r>
      </w:hyperlink>
    </w:p>
    <w:p w:rsidR="00992C30" w:rsidRDefault="008B2230">
      <w:pPr>
        <w:pStyle w:val="TOC1"/>
        <w:rPr>
          <w:rFonts w:asciiTheme="minorHAnsi" w:eastAsiaTheme="minorEastAsia" w:hAnsiTheme="minorHAnsi" w:cstheme="minorBidi"/>
          <w:b w:val="0"/>
          <w:sz w:val="22"/>
          <w:szCs w:val="22"/>
          <w:lang w:eastAsia="en-AU"/>
        </w:rPr>
      </w:pPr>
      <w:hyperlink w:anchor="_Toc51847427" w:history="1">
        <w:r w:rsidR="00992C30" w:rsidRPr="003421AA">
          <w:rPr>
            <w:rStyle w:val="Hyperlink"/>
            <w:rFonts w:eastAsia="Tahoma"/>
            <w:w w:val="105"/>
          </w:rPr>
          <w:t>Privacy analysis</w:t>
        </w:r>
        <w:r w:rsidR="00992C30">
          <w:rPr>
            <w:webHidden/>
          </w:rPr>
          <w:tab/>
        </w:r>
        <w:r w:rsidR="00992C30">
          <w:rPr>
            <w:webHidden/>
          </w:rPr>
          <w:fldChar w:fldCharType="begin"/>
        </w:r>
        <w:r w:rsidR="00992C30">
          <w:rPr>
            <w:webHidden/>
          </w:rPr>
          <w:instrText xml:space="preserve"> PAGEREF _Toc51847427 \h </w:instrText>
        </w:r>
        <w:r w:rsidR="00992C30">
          <w:rPr>
            <w:webHidden/>
          </w:rPr>
        </w:r>
        <w:r w:rsidR="00992C30">
          <w:rPr>
            <w:webHidden/>
          </w:rPr>
          <w:fldChar w:fldCharType="separate"/>
        </w:r>
        <w:r w:rsidR="00992C30">
          <w:rPr>
            <w:webHidden/>
          </w:rPr>
          <w:t>7</w:t>
        </w:r>
        <w:r w:rsidR="00992C30">
          <w:rPr>
            <w:webHidden/>
          </w:rPr>
          <w:fldChar w:fldCharType="end"/>
        </w:r>
      </w:hyperlink>
    </w:p>
    <w:p w:rsidR="00992C30" w:rsidRDefault="008B2230">
      <w:pPr>
        <w:pStyle w:val="TOC2"/>
        <w:rPr>
          <w:rFonts w:asciiTheme="minorHAnsi" w:eastAsiaTheme="minorEastAsia" w:hAnsiTheme="minorHAnsi" w:cstheme="minorBidi"/>
          <w:sz w:val="22"/>
          <w:szCs w:val="22"/>
          <w:lang w:eastAsia="en-AU"/>
        </w:rPr>
      </w:pPr>
      <w:hyperlink w:anchor="_Toc51847428" w:history="1">
        <w:r w:rsidR="00992C30" w:rsidRPr="003421AA">
          <w:rPr>
            <w:rStyle w:val="Hyperlink"/>
            <w:rFonts w:eastAsia="Tahoma"/>
          </w:rPr>
          <w:t>Information flow</w:t>
        </w:r>
        <w:r w:rsidR="00992C30">
          <w:rPr>
            <w:webHidden/>
          </w:rPr>
          <w:tab/>
        </w:r>
        <w:r w:rsidR="00992C30">
          <w:rPr>
            <w:webHidden/>
          </w:rPr>
          <w:fldChar w:fldCharType="begin"/>
        </w:r>
        <w:r w:rsidR="00992C30">
          <w:rPr>
            <w:webHidden/>
          </w:rPr>
          <w:instrText xml:space="preserve"> PAGEREF _Toc51847428 \h </w:instrText>
        </w:r>
        <w:r w:rsidR="00992C30">
          <w:rPr>
            <w:webHidden/>
          </w:rPr>
        </w:r>
        <w:r w:rsidR="00992C30">
          <w:rPr>
            <w:webHidden/>
          </w:rPr>
          <w:fldChar w:fldCharType="separate"/>
        </w:r>
        <w:r w:rsidR="00992C30">
          <w:rPr>
            <w:webHidden/>
          </w:rPr>
          <w:t>7</w:t>
        </w:r>
        <w:r w:rsidR="00992C30">
          <w:rPr>
            <w:webHidden/>
          </w:rPr>
          <w:fldChar w:fldCharType="end"/>
        </w:r>
      </w:hyperlink>
    </w:p>
    <w:p w:rsidR="00992C30" w:rsidRDefault="008B2230">
      <w:pPr>
        <w:pStyle w:val="TOC2"/>
        <w:rPr>
          <w:rFonts w:asciiTheme="minorHAnsi" w:eastAsiaTheme="minorEastAsia" w:hAnsiTheme="minorHAnsi" w:cstheme="minorBidi"/>
          <w:sz w:val="22"/>
          <w:szCs w:val="22"/>
          <w:lang w:eastAsia="en-AU"/>
        </w:rPr>
      </w:pPr>
      <w:hyperlink w:anchor="_Toc51847429" w:history="1">
        <w:r w:rsidR="00992C30" w:rsidRPr="003421AA">
          <w:rPr>
            <w:rStyle w:val="Hyperlink"/>
            <w:rFonts w:eastAsia="Arial"/>
          </w:rPr>
          <w:t>Privacy principles</w:t>
        </w:r>
        <w:r w:rsidR="00992C30">
          <w:rPr>
            <w:webHidden/>
          </w:rPr>
          <w:tab/>
        </w:r>
        <w:r w:rsidR="00992C30">
          <w:rPr>
            <w:webHidden/>
          </w:rPr>
          <w:fldChar w:fldCharType="begin"/>
        </w:r>
        <w:r w:rsidR="00992C30">
          <w:rPr>
            <w:webHidden/>
          </w:rPr>
          <w:instrText xml:space="preserve"> PAGEREF _Toc51847429 \h </w:instrText>
        </w:r>
        <w:r w:rsidR="00992C30">
          <w:rPr>
            <w:webHidden/>
          </w:rPr>
        </w:r>
        <w:r w:rsidR="00992C30">
          <w:rPr>
            <w:webHidden/>
          </w:rPr>
          <w:fldChar w:fldCharType="separate"/>
        </w:r>
        <w:r w:rsidR="00992C30">
          <w:rPr>
            <w:webHidden/>
          </w:rPr>
          <w:t>8</w:t>
        </w:r>
        <w:r w:rsidR="00992C30">
          <w:rPr>
            <w:webHidden/>
          </w:rPr>
          <w:fldChar w:fldCharType="end"/>
        </w:r>
      </w:hyperlink>
    </w:p>
    <w:p w:rsidR="00992C30" w:rsidRDefault="008B2230">
      <w:pPr>
        <w:pStyle w:val="TOC1"/>
        <w:rPr>
          <w:rFonts w:asciiTheme="minorHAnsi" w:eastAsiaTheme="minorEastAsia" w:hAnsiTheme="minorHAnsi" w:cstheme="minorBidi"/>
          <w:b w:val="0"/>
          <w:sz w:val="22"/>
          <w:szCs w:val="22"/>
          <w:lang w:eastAsia="en-AU"/>
        </w:rPr>
      </w:pPr>
      <w:hyperlink w:anchor="_Toc51847430" w:history="1">
        <w:r w:rsidR="00992C30" w:rsidRPr="003421AA">
          <w:rPr>
            <w:rStyle w:val="Hyperlink"/>
            <w:rFonts w:eastAsia="Arial"/>
          </w:rPr>
          <w:t>Privacy</w:t>
        </w:r>
        <w:r w:rsidR="00992C30" w:rsidRPr="003421AA">
          <w:rPr>
            <w:rStyle w:val="Hyperlink"/>
            <w:rFonts w:eastAsia="Arial"/>
            <w:w w:val="85"/>
          </w:rPr>
          <w:t xml:space="preserve"> </w:t>
        </w:r>
        <w:r w:rsidR="00992C30" w:rsidRPr="003421AA">
          <w:rPr>
            <w:rStyle w:val="Hyperlink"/>
            <w:rFonts w:eastAsia="Arial"/>
          </w:rPr>
          <w:t>risk</w:t>
        </w:r>
        <w:r w:rsidR="00992C30" w:rsidRPr="003421AA">
          <w:rPr>
            <w:rStyle w:val="Hyperlink"/>
            <w:rFonts w:eastAsia="Arial"/>
            <w:w w:val="85"/>
          </w:rPr>
          <w:t xml:space="preserve"> </w:t>
        </w:r>
        <w:r w:rsidR="00992C30" w:rsidRPr="003421AA">
          <w:rPr>
            <w:rStyle w:val="Hyperlink"/>
            <w:rFonts w:eastAsia="Arial"/>
          </w:rPr>
          <w:t>mitigation</w:t>
        </w:r>
        <w:r w:rsidR="00992C30">
          <w:rPr>
            <w:webHidden/>
          </w:rPr>
          <w:tab/>
        </w:r>
        <w:r w:rsidR="00992C30">
          <w:rPr>
            <w:webHidden/>
          </w:rPr>
          <w:fldChar w:fldCharType="begin"/>
        </w:r>
        <w:r w:rsidR="00992C30">
          <w:rPr>
            <w:webHidden/>
          </w:rPr>
          <w:instrText xml:space="preserve"> PAGEREF _Toc51847430 \h </w:instrText>
        </w:r>
        <w:r w:rsidR="00992C30">
          <w:rPr>
            <w:webHidden/>
          </w:rPr>
        </w:r>
        <w:r w:rsidR="00992C30">
          <w:rPr>
            <w:webHidden/>
          </w:rPr>
          <w:fldChar w:fldCharType="separate"/>
        </w:r>
        <w:r w:rsidR="00992C30">
          <w:rPr>
            <w:webHidden/>
          </w:rPr>
          <w:t>12</w:t>
        </w:r>
        <w:r w:rsidR="00992C30">
          <w:rPr>
            <w:webHidden/>
          </w:rPr>
          <w:fldChar w:fldCharType="end"/>
        </w:r>
      </w:hyperlink>
    </w:p>
    <w:p w:rsidR="00992C30" w:rsidRDefault="008B2230">
      <w:pPr>
        <w:pStyle w:val="TOC1"/>
        <w:rPr>
          <w:rFonts w:asciiTheme="minorHAnsi" w:eastAsiaTheme="minorEastAsia" w:hAnsiTheme="minorHAnsi" w:cstheme="minorBidi"/>
          <w:b w:val="0"/>
          <w:sz w:val="22"/>
          <w:szCs w:val="22"/>
          <w:lang w:eastAsia="en-AU"/>
        </w:rPr>
      </w:pPr>
      <w:hyperlink w:anchor="_Toc51847431" w:history="1">
        <w:r w:rsidR="00992C30" w:rsidRPr="003421AA">
          <w:rPr>
            <w:rStyle w:val="Hyperlink"/>
            <w:rFonts w:eastAsia="Tahoma"/>
          </w:rPr>
          <w:t>Summary</w:t>
        </w:r>
        <w:r w:rsidR="00992C30" w:rsidRPr="003421AA">
          <w:rPr>
            <w:rStyle w:val="Hyperlink"/>
            <w:rFonts w:eastAsia="Tahoma"/>
            <w:w w:val="105"/>
          </w:rPr>
          <w:t xml:space="preserve"> </w:t>
        </w:r>
        <w:r w:rsidR="00992C30" w:rsidRPr="003421AA">
          <w:rPr>
            <w:rStyle w:val="Hyperlink"/>
            <w:rFonts w:eastAsia="Tahoma"/>
          </w:rPr>
          <w:t>of</w:t>
        </w:r>
        <w:r w:rsidR="00992C30" w:rsidRPr="003421AA">
          <w:rPr>
            <w:rStyle w:val="Hyperlink"/>
            <w:rFonts w:eastAsia="Tahoma"/>
            <w:w w:val="105"/>
          </w:rPr>
          <w:t xml:space="preserve"> </w:t>
        </w:r>
        <w:r w:rsidR="00992C30" w:rsidRPr="003421AA">
          <w:rPr>
            <w:rStyle w:val="Hyperlink"/>
            <w:rFonts w:eastAsia="Tahoma"/>
          </w:rPr>
          <w:t>assessment</w:t>
        </w:r>
        <w:r w:rsidR="00992C30">
          <w:rPr>
            <w:webHidden/>
          </w:rPr>
          <w:tab/>
        </w:r>
        <w:r w:rsidR="00992C30">
          <w:rPr>
            <w:webHidden/>
          </w:rPr>
          <w:fldChar w:fldCharType="begin"/>
        </w:r>
        <w:r w:rsidR="00992C30">
          <w:rPr>
            <w:webHidden/>
          </w:rPr>
          <w:instrText xml:space="preserve"> PAGEREF _Toc51847431 \h </w:instrText>
        </w:r>
        <w:r w:rsidR="00992C30">
          <w:rPr>
            <w:webHidden/>
          </w:rPr>
        </w:r>
        <w:r w:rsidR="00992C30">
          <w:rPr>
            <w:webHidden/>
          </w:rPr>
          <w:fldChar w:fldCharType="separate"/>
        </w:r>
        <w:r w:rsidR="00992C30">
          <w:rPr>
            <w:webHidden/>
          </w:rPr>
          <w:t>13</w:t>
        </w:r>
        <w:r w:rsidR="00992C30">
          <w:rPr>
            <w:webHidden/>
          </w:rPr>
          <w:fldChar w:fldCharType="end"/>
        </w:r>
      </w:hyperlink>
    </w:p>
    <w:p w:rsidR="003E2E12" w:rsidRPr="003072C6" w:rsidRDefault="00E15DA9" w:rsidP="00213772">
      <w:pPr>
        <w:pStyle w:val="TOC2"/>
        <w:rPr>
          <w:noProof w:val="0"/>
        </w:rPr>
      </w:pPr>
      <w:r w:rsidRPr="003072C6">
        <w:rPr>
          <w:noProof w:val="0"/>
        </w:rPr>
        <w:fldChar w:fldCharType="end"/>
      </w:r>
    </w:p>
    <w:p w:rsidR="00AC0C3B" w:rsidRPr="00256E7C" w:rsidRDefault="003E2E12" w:rsidP="00256E7C">
      <w:pPr>
        <w:pStyle w:val="DHHSbody"/>
      </w:pPr>
      <w:r w:rsidRPr="00256E7C">
        <w:br w:type="page"/>
      </w:r>
    </w:p>
    <w:p w:rsidR="0071797D" w:rsidRDefault="0071797D" w:rsidP="0071797D">
      <w:pPr>
        <w:pStyle w:val="Heading1"/>
        <w:rPr>
          <w:rFonts w:eastAsia="Arial"/>
          <w:w w:val="95"/>
        </w:rPr>
      </w:pPr>
      <w:bookmarkStart w:id="1" w:name="_Toc51847420"/>
      <w:r>
        <w:rPr>
          <w:rFonts w:eastAsia="Arial"/>
          <w:w w:val="95"/>
        </w:rPr>
        <w:lastRenderedPageBreak/>
        <w:t>Introduction</w:t>
      </w:r>
      <w:bookmarkEnd w:id="1"/>
    </w:p>
    <w:p w:rsidR="0071797D" w:rsidRDefault="0071797D" w:rsidP="0071797D">
      <w:pPr>
        <w:pStyle w:val="Heading2"/>
        <w:rPr>
          <w:rFonts w:eastAsia="Arial"/>
        </w:rPr>
      </w:pPr>
      <w:bookmarkStart w:id="2" w:name="_Toc51847421"/>
      <w:r>
        <w:rPr>
          <w:rFonts w:eastAsia="Arial"/>
        </w:rPr>
        <w:t>Description of program</w:t>
      </w:r>
      <w:bookmarkEnd w:id="2"/>
    </w:p>
    <w:p w:rsidR="0071797D" w:rsidRPr="0071797D" w:rsidRDefault="0071797D" w:rsidP="0071797D">
      <w:pPr>
        <w:pStyle w:val="DHHSbody"/>
        <w:rPr>
          <w:b/>
          <w:bCs/>
        </w:rPr>
      </w:pPr>
      <w:r w:rsidRPr="0071797D">
        <w:rPr>
          <w:b/>
          <w:bCs/>
        </w:rPr>
        <w:t>Purpose of the RentAssist Bond online form</w:t>
      </w:r>
    </w:p>
    <w:p w:rsidR="0071797D" w:rsidRDefault="0071797D" w:rsidP="0071797D">
      <w:pPr>
        <w:pStyle w:val="DHHSbullet1"/>
      </w:pPr>
      <w:r>
        <w:t>The Department of Health and Human Services receives up to 13,000 bond loan applications per annum. A bond loan is an interest-free loan provided by the Director of Housing for Victorians to secure private rental.</w:t>
      </w:r>
    </w:p>
    <w:p w:rsidR="0071797D" w:rsidRDefault="0071797D" w:rsidP="0071797D">
      <w:pPr>
        <w:pStyle w:val="DHHSbullet1"/>
      </w:pPr>
      <w:r>
        <w:t>The Bond Loan Scheme aims to assist low income people who are capable of finding accommodation in the private rental market, but have difficulty meeting the upfront costs associated with accessing private rental accommodation.</w:t>
      </w:r>
    </w:p>
    <w:p w:rsidR="0071797D" w:rsidRDefault="0071797D" w:rsidP="0071797D">
      <w:pPr>
        <w:pStyle w:val="DHHSbullet1"/>
      </w:pPr>
      <w:r>
        <w:t>Assistance is provided to households who have no other financial options. The department assesses all applicants' eligibility for bond against the Bond Loan Scheme eligibility criteria based on information and documentation provided.</w:t>
      </w:r>
    </w:p>
    <w:p w:rsidR="0071797D" w:rsidRDefault="0071797D" w:rsidP="0071797D">
      <w:pPr>
        <w:pStyle w:val="DHHSbullet1"/>
      </w:pPr>
      <w:r>
        <w:t>Applicants applying for the Bond Loan Scheme must meet each of the following eligibility criteria:</w:t>
      </w:r>
    </w:p>
    <w:p w:rsidR="0071797D" w:rsidRDefault="0071797D" w:rsidP="0071797D">
      <w:pPr>
        <w:pStyle w:val="DHHSbody"/>
      </w:pPr>
      <w:r>
        <w:t>Total assessable income and assets for all household applicants cannot exceed eligibility limits for the Bond Loan Scheme. The department updates its bond limits twice yearly.</w:t>
      </w:r>
    </w:p>
    <w:p w:rsidR="0071797D" w:rsidRDefault="0071797D" w:rsidP="0071797D">
      <w:pPr>
        <w:pStyle w:val="DHHSbody"/>
      </w:pPr>
      <w:r>
        <w:t>The applicant cannot own or have a share in a residential property unless there are specific circumstances that render them exempt.</w:t>
      </w:r>
    </w:p>
    <w:p w:rsidR="0071797D" w:rsidRDefault="0071797D" w:rsidP="0071797D">
      <w:pPr>
        <w:pStyle w:val="DHHSbullet2"/>
      </w:pPr>
      <w:r>
        <w:t>The rent on the property cannot exceed 55 per cent of the household's total income.</w:t>
      </w:r>
    </w:p>
    <w:p w:rsidR="0071797D" w:rsidRDefault="0071797D" w:rsidP="0071797D">
      <w:pPr>
        <w:pStyle w:val="DHHSbullet2"/>
        <w:rPr>
          <w:spacing w:val="9"/>
        </w:rPr>
      </w:pPr>
      <w:r>
        <w:rPr>
          <w:spacing w:val="9"/>
        </w:rPr>
        <w:t>Any previous bond loans must be repaid, some limited exceptions apply.</w:t>
      </w:r>
    </w:p>
    <w:p w:rsidR="0071797D" w:rsidRDefault="0071797D" w:rsidP="0071797D">
      <w:pPr>
        <w:pStyle w:val="DHHSbullet2"/>
      </w:pPr>
      <w:r>
        <w:t>Any outstanding charges from any previous department tenancies may also be required to be repaid. Some exceptions may apply.</w:t>
      </w:r>
    </w:p>
    <w:p w:rsidR="0071797D" w:rsidRDefault="0071797D" w:rsidP="0071797D">
      <w:pPr>
        <w:pStyle w:val="DHHSbullet2"/>
      </w:pPr>
      <w:r>
        <w:t>The applicants must be a permanent resident of Australia and provide the required proof of identity, residency status, and income and other documents.</w:t>
      </w:r>
    </w:p>
    <w:p w:rsidR="0071797D" w:rsidRDefault="0071797D" w:rsidP="0071797D">
      <w:pPr>
        <w:pStyle w:val="DHHSbullet1"/>
      </w:pPr>
      <w:r>
        <w:t>Bond loans capture information about the primary applicant applying for the bond loan, as well as additional co-applicants also applying for a bond for the same rental property.</w:t>
      </w:r>
    </w:p>
    <w:p w:rsidR="0071797D" w:rsidRDefault="0071797D" w:rsidP="0071797D">
      <w:pPr>
        <w:pStyle w:val="DHHSbullet1"/>
      </w:pPr>
      <w:r>
        <w:t>Bonds are assessed by the departmental staff using HiiP, and the outcome advised to the applicant/s.</w:t>
      </w:r>
    </w:p>
    <w:p w:rsidR="0071797D" w:rsidRDefault="0071797D" w:rsidP="0071797D">
      <w:pPr>
        <w:pStyle w:val="DHHSbullet1"/>
      </w:pPr>
      <w:r>
        <w:t>Timeliness in assessing bond loan applications is critical, as the Real Estate/Landlord will have competing applications, and the Bond Loan applicant needs to be able to advise if they will be provided with a loan, as quickly as possible, to be competitive.</w:t>
      </w:r>
    </w:p>
    <w:p w:rsidR="0071797D" w:rsidRDefault="0071797D" w:rsidP="0071797D">
      <w:pPr>
        <w:pStyle w:val="DHHSbullet1"/>
      </w:pPr>
      <w:r>
        <w:t>Currently bond loan applications are paper based. To meet the timeliness criteria, applicants typically need to physically lodge a bond loan application at a housing office during business hours Monday to Friday. If there are errors or omissions, they may need to return, and then will have to subsequently return to that office to collect the bond loan voucher, if approved.</w:t>
      </w:r>
    </w:p>
    <w:p w:rsidR="0071797D" w:rsidRDefault="0071797D" w:rsidP="0071797D">
      <w:pPr>
        <w:pStyle w:val="DHHSbullet1"/>
      </w:pPr>
      <w:r>
        <w:t>An online bond form therefore makes great sense. It allows the client (and organisations that may be lodging on their behalf) to complete the form 24/7. It can contain checks and balances to make sure that all the necessary information is provided to enable assessment. It means that the applicant needs only to attend an office once, to collect the voucher.</w:t>
      </w:r>
    </w:p>
    <w:p w:rsidR="0071797D" w:rsidRDefault="0071797D" w:rsidP="0071797D">
      <w:pPr>
        <w:pStyle w:val="DHHSbullet1"/>
      </w:pPr>
      <w:r>
        <w:t>It enables better control over assessment and timeliness, as it can be a dedicated task, centrally processed. As such, it mirrors the successful approach taken to the Victorian Housing Register application process, with the added dimension of better time controls.</w:t>
      </w:r>
    </w:p>
    <w:p w:rsidR="0071797D" w:rsidRDefault="0071797D" w:rsidP="0071797D">
      <w:pPr>
        <w:pStyle w:val="DHHSbullet1"/>
        <w:sectPr w:rsidR="0071797D">
          <w:pgSz w:w="11909" w:h="16848"/>
          <w:pgMar w:top="1800" w:right="1289" w:bottom="174" w:left="1260" w:header="720" w:footer="720" w:gutter="0"/>
          <w:cols w:space="720"/>
        </w:sectPr>
      </w:pPr>
      <w:r>
        <w:t>Notably, in New South Wales, with little publicity, 30% of applications were being lodged on line within 12 months. While that state is considering the future of paper forms, there is no intention to cease paper forms in Victoria.</w:t>
      </w:r>
    </w:p>
    <w:p w:rsidR="0071797D" w:rsidRDefault="0071797D" w:rsidP="0071797D">
      <w:pPr>
        <w:sectPr w:rsidR="0071797D">
          <w:type w:val="continuous"/>
          <w:pgSz w:w="11909" w:h="16848"/>
          <w:pgMar w:top="1800" w:right="1276" w:bottom="174" w:left="1273" w:header="720" w:footer="720" w:gutter="0"/>
          <w:cols w:space="720"/>
        </w:sectPr>
      </w:pPr>
    </w:p>
    <w:p w:rsidR="0071797D" w:rsidRDefault="0071797D" w:rsidP="0071797D">
      <w:pPr>
        <w:pStyle w:val="Heading2"/>
        <w:rPr>
          <w:rFonts w:eastAsia="Arial"/>
        </w:rPr>
      </w:pPr>
      <w:bookmarkStart w:id="3" w:name="_Toc51847422"/>
      <w:r>
        <w:rPr>
          <w:rFonts w:eastAsia="Arial"/>
        </w:rPr>
        <w:lastRenderedPageBreak/>
        <w:t xml:space="preserve">Scope of the </w:t>
      </w:r>
      <w:r w:rsidRPr="0071797D">
        <w:rPr>
          <w:rFonts w:eastAsia="Arial"/>
        </w:rPr>
        <w:t>assessment</w:t>
      </w:r>
      <w:bookmarkEnd w:id="3"/>
    </w:p>
    <w:p w:rsidR="0071797D" w:rsidRDefault="0071797D" w:rsidP="0071797D">
      <w:pPr>
        <w:pStyle w:val="DHHSbody"/>
      </w:pPr>
      <w:r>
        <w:t>This PIA covers information contained within the new bond online electronic form, including applicants' details, property to be leased details, bond amount and weekly rent for the property, number of rent contributors and real estate agent/ landlord responsible for managing the property.</w:t>
      </w:r>
    </w:p>
    <w:p w:rsidR="0071797D" w:rsidRDefault="0071797D" w:rsidP="0071797D">
      <w:pPr>
        <w:pStyle w:val="DHHSbody"/>
      </w:pPr>
      <w:r>
        <w:t>The bond online integration component has been created within HiiP to store all information regarding people seeking bond loan assistance in Victoria. This component is already covered by the existing privacy and security arrangements that govern HiiP.</w:t>
      </w:r>
    </w:p>
    <w:p w:rsidR="0071797D" w:rsidRDefault="0071797D" w:rsidP="0071797D">
      <w:pPr>
        <w:pStyle w:val="DHHSbody"/>
      </w:pPr>
      <w:r>
        <w:t>The PIA also covers privacy issues regarding information on HiiP which the department and other Community Service Organisations may be able to view relating to bond loans received.</w:t>
      </w:r>
    </w:p>
    <w:p w:rsidR="0071797D" w:rsidRDefault="0071797D" w:rsidP="0071797D">
      <w:pPr>
        <w:pStyle w:val="DHHSbody"/>
      </w:pPr>
      <w:r>
        <w:t>There are two types of bond online forms to be rolled-out:</w:t>
      </w:r>
    </w:p>
    <w:p w:rsidR="0071797D" w:rsidRDefault="0071797D" w:rsidP="0071797D">
      <w:pPr>
        <w:pStyle w:val="DHHSbody"/>
        <w:numPr>
          <w:ilvl w:val="0"/>
          <w:numId w:val="47"/>
        </w:numPr>
      </w:pPr>
      <w:r>
        <w:t>A client version of the form for individual clients to access through the myGov platform</w:t>
      </w:r>
    </w:p>
    <w:p w:rsidR="0071797D" w:rsidRDefault="0071797D" w:rsidP="0071797D">
      <w:pPr>
        <w:pStyle w:val="DHHSbody"/>
        <w:numPr>
          <w:ilvl w:val="0"/>
          <w:numId w:val="47"/>
        </w:numPr>
        <w:rPr>
          <w:spacing w:val="7"/>
        </w:rPr>
      </w:pPr>
      <w:r>
        <w:rPr>
          <w:spacing w:val="7"/>
        </w:rPr>
        <w:t>An agency tailored online form for community service organisations to assist clients to apply for a bond loan</w:t>
      </w:r>
    </w:p>
    <w:p w:rsidR="0071797D" w:rsidRDefault="0071797D" w:rsidP="0071797D">
      <w:pPr>
        <w:pStyle w:val="DHHSbody"/>
      </w:pPr>
      <w:r>
        <w:t>This PIA will cover both types of online forms, including the storing of information of applicant details by departmental staff, community service organisations.</w:t>
      </w:r>
    </w:p>
    <w:p w:rsidR="0071797D" w:rsidRDefault="0071797D" w:rsidP="0071797D">
      <w:pPr>
        <w:spacing w:line="307" w:lineRule="exact"/>
        <w:textAlignment w:val="baseline"/>
        <w:rPr>
          <w:rFonts w:ascii="Arial" w:eastAsia="Arial" w:hAnsi="Arial"/>
          <w:b/>
          <w:color w:val="7D3773"/>
          <w:spacing w:val="9"/>
          <w:sz w:val="26"/>
        </w:rPr>
      </w:pPr>
    </w:p>
    <w:p w:rsidR="0071797D" w:rsidRPr="0071797D" w:rsidRDefault="0071797D" w:rsidP="0071797D">
      <w:pPr>
        <w:pStyle w:val="DHHSbody"/>
        <w:rPr>
          <w:b/>
          <w:bCs/>
        </w:rPr>
      </w:pPr>
      <w:r w:rsidRPr="0071797D">
        <w:rPr>
          <w:b/>
          <w:bCs/>
        </w:rPr>
        <w:t>How the RentAssist Bond Loan application works</w:t>
      </w:r>
    </w:p>
    <w:p w:rsidR="0071797D" w:rsidRDefault="0071797D" w:rsidP="0071797D">
      <w:pPr>
        <w:pStyle w:val="DHHSbody"/>
      </w:pPr>
      <w:r>
        <w:t>Applications can be submitted by an individual (i.e. the applicant) or by a Community Service Organisations on behalf of an applicant.</w:t>
      </w:r>
    </w:p>
    <w:p w:rsidR="0071797D" w:rsidRDefault="0071797D" w:rsidP="0071797D">
      <w:pPr>
        <w:pStyle w:val="DHHSbody"/>
        <w:rPr>
          <w:spacing w:val="8"/>
        </w:rPr>
      </w:pPr>
      <w:r>
        <w:rPr>
          <w:spacing w:val="8"/>
        </w:rPr>
        <w:t>Applications can be submitted online or using a paper form.</w:t>
      </w:r>
    </w:p>
    <w:p w:rsidR="0071797D" w:rsidRDefault="0071797D" w:rsidP="0071797D">
      <w:pPr>
        <w:pStyle w:val="DHHSbody"/>
      </w:pPr>
      <w:r>
        <w:t>Individuals can apply for bond loan online via myGov, the Commonwealth Government's portal, with which most applicants would have an account, as it is a requirement for Centrelink.</w:t>
      </w:r>
    </w:p>
    <w:p w:rsidR="0071797D" w:rsidRDefault="0071797D" w:rsidP="0071797D">
      <w:pPr>
        <w:pStyle w:val="DHHSbody"/>
      </w:pPr>
      <w:r>
        <w:t>Community Service Organisations can apply on an individual's behalf through the department's eBusiness portal.</w:t>
      </w:r>
    </w:p>
    <w:p w:rsidR="0071797D" w:rsidRDefault="0071797D" w:rsidP="0071797D">
      <w:pPr>
        <w:pStyle w:val="DHHSbody"/>
        <w:rPr>
          <w:spacing w:val="8"/>
        </w:rPr>
      </w:pPr>
      <w:r>
        <w:rPr>
          <w:spacing w:val="8"/>
        </w:rPr>
        <w:t>All applications for Bond loans are assessed in the departments housing core system HiiP. The assessment takes into consideration a client's income, asset, residency and that the ratio of rent payable is within the existing limit of 55%.</w:t>
      </w:r>
    </w:p>
    <w:p w:rsidR="0071797D" w:rsidRPr="0071797D" w:rsidRDefault="0071797D" w:rsidP="0071797D">
      <w:pPr>
        <w:pStyle w:val="DHHSbody"/>
        <w:rPr>
          <w:b/>
          <w:bCs/>
        </w:rPr>
      </w:pPr>
      <w:r w:rsidRPr="0071797D">
        <w:rPr>
          <w:b/>
          <w:bCs/>
        </w:rPr>
        <w:t>Community service organisations</w:t>
      </w:r>
    </w:p>
    <w:p w:rsidR="0071797D" w:rsidRDefault="0071797D" w:rsidP="0071797D">
      <w:pPr>
        <w:pStyle w:val="DHHSbody"/>
        <w:rPr>
          <w:rFonts w:eastAsia="Arial"/>
          <w:spacing w:val="9"/>
          <w:sz w:val="18"/>
        </w:rPr>
      </w:pPr>
      <w:r>
        <w:rPr>
          <w:rFonts w:eastAsia="Arial"/>
          <w:spacing w:val="9"/>
          <w:sz w:val="18"/>
        </w:rPr>
        <w:t>Victoria's homelessness and family violence service responses are provided by community based organisations. Where that organisation is brokering access into the private rental market or into community managed housing, they may lodge a bond loan application with their client's consent.</w:t>
      </w:r>
    </w:p>
    <w:p w:rsidR="0071797D" w:rsidRDefault="0071797D" w:rsidP="0071797D">
      <w:pPr>
        <w:pStyle w:val="Heading2"/>
        <w:rPr>
          <w:rFonts w:eastAsia="Arial"/>
        </w:rPr>
      </w:pPr>
      <w:bookmarkStart w:id="4" w:name="_Toc51847423"/>
      <w:r>
        <w:rPr>
          <w:rFonts w:eastAsia="Arial"/>
        </w:rPr>
        <w:t>Roles in the assessment</w:t>
      </w:r>
      <w:bookmarkEnd w:id="4"/>
    </w:p>
    <w:p w:rsidR="0071797D" w:rsidRDefault="0071797D" w:rsidP="0071797D">
      <w:pPr>
        <w:pStyle w:val="DHHSbody"/>
      </w:pPr>
      <w:r>
        <w:t>This assessment has been prepared by the Service Implementation Support Branch, in the Children, Families, Disabilities and Operations Division with input from Privacy and the BTIM Information Security. The Director, Service Implementation and Support is the business and data information owner.</w:t>
      </w:r>
    </w:p>
    <w:p w:rsidR="0071797D" w:rsidRDefault="0071797D" w:rsidP="0071797D">
      <w:pPr>
        <w:spacing w:before="167" w:after="1907" w:line="270" w:lineRule="exact"/>
        <w:sectPr w:rsidR="0071797D">
          <w:pgSz w:w="11909" w:h="16848"/>
          <w:pgMar w:top="1740" w:right="1296" w:bottom="214" w:left="1253" w:header="720" w:footer="720" w:gutter="0"/>
          <w:cols w:space="720"/>
        </w:sectPr>
      </w:pPr>
    </w:p>
    <w:p w:rsidR="0071797D" w:rsidRDefault="0071797D" w:rsidP="0071797D">
      <w:pPr>
        <w:sectPr w:rsidR="0071797D">
          <w:type w:val="continuous"/>
          <w:pgSz w:w="11909" w:h="16848"/>
          <w:pgMar w:top="1740" w:right="1276" w:bottom="214" w:left="1273" w:header="720" w:footer="720" w:gutter="0"/>
          <w:cols w:space="720"/>
        </w:sectPr>
      </w:pPr>
    </w:p>
    <w:p w:rsidR="0071797D" w:rsidRDefault="0071797D" w:rsidP="0071797D">
      <w:pPr>
        <w:pStyle w:val="Heading1"/>
        <w:rPr>
          <w:rFonts w:eastAsia="Arial"/>
          <w:w w:val="95"/>
        </w:rPr>
      </w:pPr>
      <w:bookmarkStart w:id="5" w:name="_Toc51847424"/>
      <w:r>
        <w:rPr>
          <w:rFonts w:eastAsia="Arial"/>
          <w:w w:val="95"/>
        </w:rPr>
        <w:lastRenderedPageBreak/>
        <w:t>Information elements</w:t>
      </w:r>
      <w:bookmarkEnd w:id="5"/>
    </w:p>
    <w:p w:rsidR="0071797D" w:rsidRPr="0071797D" w:rsidRDefault="0071797D" w:rsidP="007573E5">
      <w:pPr>
        <w:pStyle w:val="DHHSbody"/>
        <w:rPr>
          <w:w w:val="95"/>
        </w:rPr>
      </w:pPr>
      <w:r>
        <w:t>The information to be input into the online form is the same information as is currently collected on the bond loan paper application form. This information is stored in the Azure Cloud until such time as the application is submitted, at which point it is data captured into HiiP.</w:t>
      </w:r>
    </w:p>
    <w:p w:rsidR="0071797D" w:rsidRDefault="0071797D" w:rsidP="007573E5">
      <w:pPr>
        <w:pStyle w:val="DHHSbody"/>
      </w:pPr>
      <w:r>
        <w:t xml:space="preserve">The information contained in the bond voucher, together with the letter advising as to whether the application has been successful are the sole </w:t>
      </w:r>
      <w:r w:rsidRPr="007573E5">
        <w:t>information</w:t>
      </w:r>
      <w:r>
        <w:t xml:space="preserve"> available externally. These items are directed to the applicant.</w:t>
      </w:r>
    </w:p>
    <w:p w:rsidR="0071797D" w:rsidRDefault="0071797D" w:rsidP="007573E5">
      <w:pPr>
        <w:pStyle w:val="DHHSbody"/>
      </w:pPr>
      <w:r>
        <w:t xml:space="preserve">The details in the bond voucher are the minimum data requirements specified by the Residential Tenancy Bond Authority, in order to manage the bond </w:t>
      </w:r>
      <w:r w:rsidRPr="007573E5">
        <w:t>lodgement</w:t>
      </w:r>
      <w:r>
        <w:t xml:space="preserve"> and subsequent management by that authority of the bond. (See attached bond voucher as a sample)</w:t>
      </w:r>
    </w:p>
    <w:p w:rsidR="0071797D" w:rsidRDefault="0071797D" w:rsidP="0071797D">
      <w:pPr>
        <w:pStyle w:val="Heading2"/>
        <w:rPr>
          <w:rFonts w:eastAsia="Arial"/>
        </w:rPr>
      </w:pPr>
      <w:bookmarkStart w:id="6" w:name="_Toc51847425"/>
      <w:r>
        <w:rPr>
          <w:rFonts w:eastAsia="Arial"/>
        </w:rPr>
        <w:t>Personal information</w:t>
      </w:r>
      <w:bookmarkEnd w:id="6"/>
    </w:p>
    <w:p w:rsidR="0071797D" w:rsidRDefault="0071797D" w:rsidP="0071797D">
      <w:pPr>
        <w:pStyle w:val="DHHSbody"/>
      </w:pPr>
      <w:r>
        <w:t>The bond online form captures all applicants applying for the loan, their personal details, names, marital status, income, assets, country of birth, residency and postal address.</w:t>
      </w:r>
    </w:p>
    <w:p w:rsidR="0071797D" w:rsidRDefault="0071797D" w:rsidP="0071797D">
      <w:pPr>
        <w:pStyle w:val="DHHSbody"/>
      </w:pPr>
      <w:r>
        <w:t>As part of the bond assessment, information is gathered about the private rental property, the bond loan is being sought such as the property address, property bond amount, weekly rent payable, real estate agent or landlord details.</w:t>
      </w:r>
    </w:p>
    <w:p w:rsidR="0071797D" w:rsidRDefault="0071797D" w:rsidP="0071797D">
      <w:pPr>
        <w:pStyle w:val="Heading2"/>
        <w:rPr>
          <w:rFonts w:eastAsia="Arial"/>
        </w:rPr>
      </w:pPr>
      <w:bookmarkStart w:id="7" w:name="_Toc51847426"/>
      <w:r>
        <w:rPr>
          <w:rFonts w:eastAsia="Arial"/>
        </w:rPr>
        <w:t>Health information</w:t>
      </w:r>
      <w:bookmarkEnd w:id="7"/>
    </w:p>
    <w:p w:rsidR="0071797D" w:rsidRDefault="0071797D" w:rsidP="0071797D">
      <w:pPr>
        <w:pStyle w:val="DHHSbody"/>
      </w:pPr>
      <w:r>
        <w:t>No specific health details are captured for a bond loan</w:t>
      </w:r>
    </w:p>
    <w:p w:rsidR="0071797D" w:rsidRDefault="0071797D" w:rsidP="0071797D">
      <w:pPr>
        <w:spacing w:before="286" w:after="83" w:line="308" w:lineRule="exact"/>
        <w:textAlignment w:val="baseline"/>
        <w:rPr>
          <w:rFonts w:ascii="Arial" w:eastAsia="Arial" w:hAnsi="Arial"/>
          <w:b/>
          <w:color w:val="7C306C"/>
          <w:spacing w:val="8"/>
          <w:sz w:val="26"/>
        </w:rPr>
      </w:pPr>
      <w:r>
        <w:rPr>
          <w:rFonts w:ascii="Arial" w:eastAsia="Arial" w:hAnsi="Arial"/>
          <w:b/>
          <w:color w:val="7C306C"/>
          <w:spacing w:val="8"/>
          <w:sz w:val="26"/>
        </w:rPr>
        <w:t>Sensitive information</w:t>
      </w:r>
    </w:p>
    <w:tbl>
      <w:tblPr>
        <w:tblStyle w:val="TableGrid"/>
        <w:tblW w:w="0" w:type="auto"/>
        <w:tblLayout w:type="fixed"/>
        <w:tblLook w:val="0020" w:firstRow="1" w:lastRow="0" w:firstColumn="0" w:lastColumn="0" w:noHBand="0" w:noVBand="0"/>
      </w:tblPr>
      <w:tblGrid>
        <w:gridCol w:w="5677"/>
        <w:gridCol w:w="3694"/>
      </w:tblGrid>
      <w:tr w:rsidR="0071797D" w:rsidTr="0071797D">
        <w:trPr>
          <w:trHeight w:hRule="exact" w:val="382"/>
        </w:trPr>
        <w:tc>
          <w:tcPr>
            <w:tcW w:w="5677" w:type="dxa"/>
          </w:tcPr>
          <w:p w:rsidR="0071797D" w:rsidRPr="0071797D" w:rsidRDefault="0071797D" w:rsidP="0071797D">
            <w:pPr>
              <w:pStyle w:val="DHHSbody"/>
              <w:rPr>
                <w:b/>
                <w:bCs/>
              </w:rPr>
            </w:pPr>
            <w:r w:rsidRPr="0071797D">
              <w:rPr>
                <w:b/>
                <w:bCs/>
              </w:rPr>
              <w:t>Type of sensitive information</w:t>
            </w:r>
          </w:p>
        </w:tc>
        <w:tc>
          <w:tcPr>
            <w:tcW w:w="3694" w:type="dxa"/>
          </w:tcPr>
          <w:p w:rsidR="0071797D" w:rsidRPr="0071797D" w:rsidRDefault="0071797D" w:rsidP="0071797D">
            <w:pPr>
              <w:pStyle w:val="DHHSbody"/>
              <w:rPr>
                <w:b/>
                <w:bCs/>
              </w:rPr>
            </w:pPr>
            <w:r w:rsidRPr="0071797D">
              <w:rPr>
                <w:b/>
                <w:bCs/>
              </w:rPr>
              <w:t>Details</w:t>
            </w:r>
          </w:p>
        </w:tc>
      </w:tr>
      <w:tr w:rsidR="0071797D" w:rsidTr="0071797D">
        <w:trPr>
          <w:trHeight w:hRule="exact" w:val="842"/>
        </w:trPr>
        <w:tc>
          <w:tcPr>
            <w:tcW w:w="5677" w:type="dxa"/>
          </w:tcPr>
          <w:p w:rsidR="0071797D" w:rsidRDefault="0071797D" w:rsidP="0071797D">
            <w:pPr>
              <w:pStyle w:val="DHHSbody"/>
              <w:rPr>
                <w:color w:val="000000"/>
              </w:rPr>
            </w:pPr>
            <w:r>
              <w:rPr>
                <w:color w:val="000000"/>
              </w:rPr>
              <w:t>Racial or ethnic origin</w:t>
            </w:r>
          </w:p>
        </w:tc>
        <w:tc>
          <w:tcPr>
            <w:tcW w:w="3694" w:type="dxa"/>
          </w:tcPr>
          <w:p w:rsidR="0071797D" w:rsidRDefault="0071797D" w:rsidP="007573E5">
            <w:pPr>
              <w:pStyle w:val="DHHSbody"/>
            </w:pPr>
            <w:r>
              <w:t xml:space="preserve">Country of birth - to determine </w:t>
            </w:r>
            <w:r w:rsidRPr="007573E5">
              <w:t>residency</w:t>
            </w:r>
            <w:r>
              <w:t xml:space="preserve"> which is used to determine eligibility to receive a bond loan</w:t>
            </w:r>
          </w:p>
        </w:tc>
      </w:tr>
      <w:tr w:rsidR="0071797D" w:rsidTr="0071797D">
        <w:trPr>
          <w:trHeight w:hRule="exact" w:val="382"/>
        </w:trPr>
        <w:tc>
          <w:tcPr>
            <w:tcW w:w="5677" w:type="dxa"/>
          </w:tcPr>
          <w:p w:rsidR="0071797D" w:rsidRDefault="0071797D" w:rsidP="0071797D">
            <w:pPr>
              <w:pStyle w:val="DHHSbody"/>
              <w:rPr>
                <w:color w:val="000000"/>
              </w:rPr>
            </w:pPr>
            <w:r>
              <w:rPr>
                <w:color w:val="000000"/>
              </w:rPr>
              <w:t>Political opinions</w:t>
            </w:r>
          </w:p>
        </w:tc>
        <w:tc>
          <w:tcPr>
            <w:tcW w:w="3694" w:type="dxa"/>
          </w:tcPr>
          <w:p w:rsidR="0071797D" w:rsidRDefault="0071797D" w:rsidP="0071797D">
            <w:pPr>
              <w:pStyle w:val="DHHSbody"/>
              <w:rPr>
                <w:color w:val="000000"/>
              </w:rPr>
            </w:pPr>
            <w:r>
              <w:rPr>
                <w:color w:val="000000"/>
              </w:rPr>
              <w:t>Not collected</w:t>
            </w:r>
          </w:p>
        </w:tc>
      </w:tr>
      <w:tr w:rsidR="0071797D" w:rsidTr="0071797D">
        <w:trPr>
          <w:trHeight w:hRule="exact" w:val="381"/>
        </w:trPr>
        <w:tc>
          <w:tcPr>
            <w:tcW w:w="5677" w:type="dxa"/>
          </w:tcPr>
          <w:p w:rsidR="0071797D" w:rsidRDefault="0071797D" w:rsidP="0071797D">
            <w:pPr>
              <w:pStyle w:val="DHHSbody"/>
              <w:rPr>
                <w:color w:val="000000"/>
              </w:rPr>
            </w:pPr>
            <w:r>
              <w:rPr>
                <w:color w:val="000000"/>
              </w:rPr>
              <w:t>Membership of a political association</w:t>
            </w:r>
          </w:p>
        </w:tc>
        <w:tc>
          <w:tcPr>
            <w:tcW w:w="3694" w:type="dxa"/>
          </w:tcPr>
          <w:p w:rsidR="0071797D" w:rsidRDefault="0071797D" w:rsidP="0071797D">
            <w:pPr>
              <w:pStyle w:val="DHHSbody"/>
              <w:rPr>
                <w:color w:val="000000"/>
              </w:rPr>
            </w:pPr>
            <w:r>
              <w:rPr>
                <w:color w:val="000000"/>
              </w:rPr>
              <w:t>Not collected</w:t>
            </w:r>
          </w:p>
        </w:tc>
      </w:tr>
      <w:tr w:rsidR="0071797D" w:rsidTr="0071797D">
        <w:trPr>
          <w:trHeight w:hRule="exact" w:val="378"/>
        </w:trPr>
        <w:tc>
          <w:tcPr>
            <w:tcW w:w="5677" w:type="dxa"/>
          </w:tcPr>
          <w:p w:rsidR="0071797D" w:rsidRDefault="0071797D" w:rsidP="0071797D">
            <w:pPr>
              <w:pStyle w:val="DHHSbody"/>
              <w:rPr>
                <w:color w:val="000000"/>
              </w:rPr>
            </w:pPr>
            <w:r>
              <w:rPr>
                <w:color w:val="000000"/>
              </w:rPr>
              <w:t>Religious beliefs or affiliations</w:t>
            </w:r>
          </w:p>
        </w:tc>
        <w:tc>
          <w:tcPr>
            <w:tcW w:w="3694" w:type="dxa"/>
          </w:tcPr>
          <w:p w:rsidR="0071797D" w:rsidRDefault="0071797D" w:rsidP="0071797D">
            <w:pPr>
              <w:pStyle w:val="DHHSbody"/>
              <w:rPr>
                <w:color w:val="000000"/>
              </w:rPr>
            </w:pPr>
            <w:r>
              <w:rPr>
                <w:color w:val="000000"/>
              </w:rPr>
              <w:t>Not collected</w:t>
            </w:r>
          </w:p>
        </w:tc>
      </w:tr>
      <w:tr w:rsidR="0071797D" w:rsidTr="0071797D">
        <w:trPr>
          <w:trHeight w:hRule="exact" w:val="385"/>
        </w:trPr>
        <w:tc>
          <w:tcPr>
            <w:tcW w:w="5677" w:type="dxa"/>
          </w:tcPr>
          <w:p w:rsidR="0071797D" w:rsidRDefault="0071797D" w:rsidP="0071797D">
            <w:pPr>
              <w:pStyle w:val="DHHSbody"/>
              <w:rPr>
                <w:color w:val="000000"/>
              </w:rPr>
            </w:pPr>
            <w:r>
              <w:rPr>
                <w:color w:val="000000"/>
              </w:rPr>
              <w:t>Philosophical beliefs</w:t>
            </w:r>
          </w:p>
        </w:tc>
        <w:tc>
          <w:tcPr>
            <w:tcW w:w="3694" w:type="dxa"/>
          </w:tcPr>
          <w:p w:rsidR="0071797D" w:rsidRDefault="0071797D" w:rsidP="0071797D">
            <w:pPr>
              <w:pStyle w:val="DHHSbody"/>
              <w:rPr>
                <w:color w:val="000000"/>
              </w:rPr>
            </w:pPr>
            <w:r>
              <w:rPr>
                <w:color w:val="000000"/>
              </w:rPr>
              <w:t>Not collected</w:t>
            </w:r>
          </w:p>
        </w:tc>
      </w:tr>
      <w:tr w:rsidR="0071797D" w:rsidTr="0071797D">
        <w:trPr>
          <w:trHeight w:hRule="exact" w:val="378"/>
        </w:trPr>
        <w:tc>
          <w:tcPr>
            <w:tcW w:w="5677" w:type="dxa"/>
          </w:tcPr>
          <w:p w:rsidR="0071797D" w:rsidRDefault="0071797D" w:rsidP="0071797D">
            <w:pPr>
              <w:pStyle w:val="DHHSbody"/>
              <w:rPr>
                <w:color w:val="000000"/>
              </w:rPr>
            </w:pPr>
            <w:r>
              <w:rPr>
                <w:color w:val="000000"/>
              </w:rPr>
              <w:t>Membership of a professional or trade association</w:t>
            </w:r>
          </w:p>
        </w:tc>
        <w:tc>
          <w:tcPr>
            <w:tcW w:w="3694" w:type="dxa"/>
          </w:tcPr>
          <w:p w:rsidR="0071797D" w:rsidRDefault="0071797D" w:rsidP="0071797D">
            <w:pPr>
              <w:pStyle w:val="DHHSbody"/>
              <w:rPr>
                <w:color w:val="000000"/>
              </w:rPr>
            </w:pPr>
            <w:r>
              <w:rPr>
                <w:color w:val="000000"/>
              </w:rPr>
              <w:t>Not collected</w:t>
            </w:r>
          </w:p>
        </w:tc>
      </w:tr>
      <w:tr w:rsidR="0071797D" w:rsidTr="0071797D">
        <w:trPr>
          <w:trHeight w:hRule="exact" w:val="382"/>
        </w:trPr>
        <w:tc>
          <w:tcPr>
            <w:tcW w:w="5677" w:type="dxa"/>
          </w:tcPr>
          <w:p w:rsidR="0071797D" w:rsidRDefault="0071797D" w:rsidP="0071797D">
            <w:pPr>
              <w:pStyle w:val="DHHSbody"/>
              <w:rPr>
                <w:color w:val="000000"/>
              </w:rPr>
            </w:pPr>
            <w:r>
              <w:rPr>
                <w:color w:val="000000"/>
              </w:rPr>
              <w:t>Membership of a trade union</w:t>
            </w:r>
          </w:p>
        </w:tc>
        <w:tc>
          <w:tcPr>
            <w:tcW w:w="3694" w:type="dxa"/>
          </w:tcPr>
          <w:p w:rsidR="0071797D" w:rsidRDefault="0071797D" w:rsidP="0071797D">
            <w:pPr>
              <w:pStyle w:val="DHHSbody"/>
              <w:rPr>
                <w:color w:val="000000"/>
              </w:rPr>
            </w:pPr>
            <w:r>
              <w:rPr>
                <w:color w:val="000000"/>
              </w:rPr>
              <w:t>Not collected</w:t>
            </w:r>
          </w:p>
        </w:tc>
      </w:tr>
      <w:tr w:rsidR="0071797D" w:rsidTr="0071797D">
        <w:trPr>
          <w:trHeight w:hRule="exact" w:val="382"/>
        </w:trPr>
        <w:tc>
          <w:tcPr>
            <w:tcW w:w="5677" w:type="dxa"/>
          </w:tcPr>
          <w:p w:rsidR="0071797D" w:rsidRDefault="0071797D" w:rsidP="0071797D">
            <w:pPr>
              <w:pStyle w:val="DHHSbody"/>
              <w:rPr>
                <w:color w:val="000000"/>
              </w:rPr>
            </w:pPr>
            <w:r>
              <w:rPr>
                <w:color w:val="000000"/>
              </w:rPr>
              <w:t>Sexual preferences or practices</w:t>
            </w:r>
          </w:p>
        </w:tc>
        <w:tc>
          <w:tcPr>
            <w:tcW w:w="3694" w:type="dxa"/>
          </w:tcPr>
          <w:p w:rsidR="0071797D" w:rsidRDefault="0071797D" w:rsidP="0071797D">
            <w:pPr>
              <w:pStyle w:val="DHHSbody"/>
              <w:rPr>
                <w:color w:val="000000"/>
              </w:rPr>
            </w:pPr>
            <w:r>
              <w:rPr>
                <w:color w:val="000000"/>
              </w:rPr>
              <w:t>Not collected</w:t>
            </w:r>
          </w:p>
        </w:tc>
      </w:tr>
      <w:tr w:rsidR="0071797D" w:rsidTr="0071797D">
        <w:trPr>
          <w:trHeight w:hRule="exact" w:val="385"/>
        </w:trPr>
        <w:tc>
          <w:tcPr>
            <w:tcW w:w="5677" w:type="dxa"/>
          </w:tcPr>
          <w:p w:rsidR="0071797D" w:rsidRDefault="0071797D" w:rsidP="0071797D">
            <w:pPr>
              <w:pStyle w:val="DHHSbody"/>
              <w:rPr>
                <w:color w:val="000000"/>
              </w:rPr>
            </w:pPr>
            <w:r>
              <w:rPr>
                <w:color w:val="000000"/>
              </w:rPr>
              <w:t>Criminal record</w:t>
            </w:r>
          </w:p>
        </w:tc>
        <w:tc>
          <w:tcPr>
            <w:tcW w:w="3694" w:type="dxa"/>
          </w:tcPr>
          <w:p w:rsidR="0071797D" w:rsidRDefault="0071797D" w:rsidP="0071797D">
            <w:pPr>
              <w:pStyle w:val="DHHSbody"/>
              <w:rPr>
                <w:color w:val="000000"/>
              </w:rPr>
            </w:pPr>
            <w:r>
              <w:rPr>
                <w:color w:val="000000"/>
              </w:rPr>
              <w:t>Not collected</w:t>
            </w:r>
          </w:p>
        </w:tc>
      </w:tr>
    </w:tbl>
    <w:p w:rsidR="0071797D" w:rsidRDefault="0071797D" w:rsidP="0071797D">
      <w:pPr>
        <w:spacing w:after="2470" w:line="20" w:lineRule="exact"/>
      </w:pPr>
    </w:p>
    <w:p w:rsidR="0071797D" w:rsidRDefault="0071797D" w:rsidP="0071797D">
      <w:pPr>
        <w:sectPr w:rsidR="0071797D">
          <w:pgSz w:w="11909" w:h="16848"/>
          <w:pgMar w:top="1800" w:right="1254" w:bottom="164" w:left="1273" w:header="720" w:footer="720" w:gutter="0"/>
          <w:cols w:space="720"/>
        </w:sectPr>
      </w:pPr>
    </w:p>
    <w:p w:rsidR="0071797D" w:rsidRPr="00F04EE2" w:rsidRDefault="0071797D" w:rsidP="0071797D">
      <w:pPr>
        <w:pStyle w:val="Heading1"/>
        <w:rPr>
          <w:rFonts w:eastAsia="Tahoma"/>
          <w:w w:val="105"/>
        </w:rPr>
      </w:pPr>
      <w:bookmarkStart w:id="8" w:name="_Toc51847427"/>
      <w:r w:rsidRPr="00F04EE2">
        <w:rPr>
          <w:rFonts w:eastAsia="Tahoma"/>
          <w:w w:val="105"/>
        </w:rPr>
        <w:lastRenderedPageBreak/>
        <w:t>Privacy analysis</w:t>
      </w:r>
      <w:bookmarkEnd w:id="8"/>
    </w:p>
    <w:p w:rsidR="0071797D" w:rsidRPr="00F04EE2" w:rsidRDefault="0071797D" w:rsidP="0071797D">
      <w:pPr>
        <w:pStyle w:val="Heading2"/>
        <w:rPr>
          <w:rFonts w:eastAsia="Tahoma"/>
        </w:rPr>
      </w:pPr>
      <w:bookmarkStart w:id="9" w:name="_Toc51847428"/>
      <w:r w:rsidRPr="00F04EE2">
        <w:rPr>
          <w:rFonts w:eastAsia="Tahoma"/>
        </w:rPr>
        <w:t>Information flow</w:t>
      </w:r>
      <w:bookmarkEnd w:id="9"/>
    </w:p>
    <w:p w:rsidR="0071797D" w:rsidRDefault="0071797D" w:rsidP="0071797D">
      <w:pPr>
        <w:pStyle w:val="DHHSbody"/>
      </w:pPr>
      <w:r w:rsidRPr="00F04EE2">
        <w:t>Information Flow — Lodging and Assessing Bond Loans and lodgement with the Residential Bond Author</w:t>
      </w:r>
      <w:r>
        <w:t>ity (RTBA)</w:t>
      </w:r>
    </w:p>
    <w:p w:rsidR="0071797D" w:rsidRDefault="0071797D" w:rsidP="0071797D">
      <w:pPr>
        <w:rPr>
          <w:rFonts w:ascii="Arial" w:hAnsi="Arial" w:cs="Arial"/>
          <w:sz w:val="18"/>
          <w:szCs w:val="18"/>
        </w:rPr>
      </w:pPr>
    </w:p>
    <w:p w:rsidR="0071797D" w:rsidRPr="00F04EE2" w:rsidRDefault="0071797D" w:rsidP="0071797D">
      <w:pPr>
        <w:rPr>
          <w:rFonts w:ascii="Arial" w:hAnsi="Arial" w:cs="Arial"/>
          <w:sz w:val="18"/>
          <w:szCs w:val="18"/>
        </w:rPr>
      </w:pPr>
      <w:r>
        <w:rPr>
          <w:noProof/>
          <w:lang w:eastAsia="en-AU"/>
        </w:rPr>
        <w:drawing>
          <wp:inline distT="0" distB="0" distL="0" distR="0" wp14:anchorId="163C0752" wp14:editId="17F1857F">
            <wp:extent cx="5267325" cy="3942715"/>
            <wp:effectExtent l="0" t="0" r="9525" b="635"/>
            <wp:docPr id="1" name="Picture 1" descr="Image of information flow from lodging and assessing bond loans to lodgement with the Residential Bond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67325" cy="3942715"/>
                    </a:xfrm>
                    <a:prstGeom prst="rect">
                      <a:avLst/>
                    </a:prstGeom>
                  </pic:spPr>
                </pic:pic>
              </a:graphicData>
            </a:graphic>
          </wp:inline>
        </w:drawing>
      </w:r>
    </w:p>
    <w:p w:rsidR="0071797D" w:rsidRDefault="0071797D" w:rsidP="0071797D">
      <w:pPr>
        <w:pStyle w:val="DHHSbody"/>
      </w:pPr>
      <w:r>
        <w:t>* For submitted applications, BO to retain subset of information to show history on the BO dashboard</w:t>
      </w:r>
    </w:p>
    <w:p w:rsidR="0071797D" w:rsidRDefault="0071797D" w:rsidP="0071797D">
      <w:pPr>
        <w:spacing w:after="6297" w:line="163" w:lineRule="exact"/>
        <w:sectPr w:rsidR="0071797D">
          <w:pgSz w:w="11909" w:h="16848"/>
          <w:pgMar w:top="1720" w:right="1285" w:bottom="214" w:left="1242" w:header="720" w:footer="720" w:gutter="0"/>
          <w:cols w:space="720"/>
        </w:sectPr>
      </w:pPr>
    </w:p>
    <w:p w:rsidR="0071797D" w:rsidRDefault="0071797D" w:rsidP="0071797D">
      <w:pPr>
        <w:sectPr w:rsidR="0071797D">
          <w:type w:val="continuous"/>
          <w:pgSz w:w="11909" w:h="16848"/>
          <w:pgMar w:top="1720" w:right="1249" w:bottom="214" w:left="1278" w:header="720" w:footer="720" w:gutter="0"/>
          <w:cols w:space="720"/>
        </w:sectPr>
      </w:pPr>
    </w:p>
    <w:p w:rsidR="0071797D" w:rsidRDefault="0071797D" w:rsidP="0071797D">
      <w:pPr>
        <w:pStyle w:val="Heading2"/>
        <w:rPr>
          <w:rFonts w:eastAsia="Arial"/>
        </w:rPr>
      </w:pPr>
      <w:bookmarkStart w:id="10" w:name="_Toc51847429"/>
      <w:r>
        <w:rPr>
          <w:rFonts w:eastAsia="Arial"/>
        </w:rPr>
        <w:lastRenderedPageBreak/>
        <w:t>Privacy principles</w:t>
      </w:r>
      <w:bookmarkEnd w:id="10"/>
    </w:p>
    <w:tbl>
      <w:tblPr>
        <w:tblStyle w:val="TableGrid"/>
        <w:tblW w:w="0" w:type="auto"/>
        <w:tblLayout w:type="fixed"/>
        <w:tblLook w:val="0020" w:firstRow="1" w:lastRow="0" w:firstColumn="0" w:lastColumn="0" w:noHBand="0" w:noVBand="0"/>
      </w:tblPr>
      <w:tblGrid>
        <w:gridCol w:w="3848"/>
        <w:gridCol w:w="2781"/>
        <w:gridCol w:w="737"/>
        <w:gridCol w:w="567"/>
        <w:gridCol w:w="6662"/>
      </w:tblGrid>
      <w:tr w:rsidR="0071797D" w:rsidTr="00F01C3D">
        <w:trPr>
          <w:trHeight w:hRule="exact" w:val="392"/>
        </w:trPr>
        <w:tc>
          <w:tcPr>
            <w:tcW w:w="3848" w:type="dxa"/>
          </w:tcPr>
          <w:p w:rsidR="0071797D" w:rsidRPr="0071797D" w:rsidRDefault="0071797D" w:rsidP="0071797D">
            <w:pPr>
              <w:pStyle w:val="DHHSbody"/>
              <w:rPr>
                <w:b/>
                <w:bCs/>
              </w:rPr>
            </w:pPr>
            <w:r w:rsidRPr="0071797D">
              <w:rPr>
                <w:b/>
                <w:bCs/>
              </w:rPr>
              <w:t>Questions — what is the risk?</w:t>
            </w:r>
          </w:p>
        </w:tc>
        <w:tc>
          <w:tcPr>
            <w:tcW w:w="2781" w:type="dxa"/>
          </w:tcPr>
          <w:p w:rsidR="0071797D" w:rsidRPr="0071797D" w:rsidRDefault="0071797D" w:rsidP="0071797D">
            <w:pPr>
              <w:pStyle w:val="DHHSbody"/>
              <w:rPr>
                <w:b/>
                <w:bCs/>
              </w:rPr>
            </w:pPr>
            <w:r w:rsidRPr="0071797D">
              <w:rPr>
                <w:b/>
                <w:bCs/>
              </w:rPr>
              <w:t>Further information</w:t>
            </w:r>
          </w:p>
        </w:tc>
        <w:tc>
          <w:tcPr>
            <w:tcW w:w="737" w:type="dxa"/>
          </w:tcPr>
          <w:p w:rsidR="0071797D" w:rsidRPr="0071797D" w:rsidRDefault="0071797D" w:rsidP="0071797D">
            <w:pPr>
              <w:pStyle w:val="DHHSbody"/>
              <w:rPr>
                <w:b/>
                <w:bCs/>
              </w:rPr>
            </w:pPr>
            <w:r w:rsidRPr="0071797D">
              <w:rPr>
                <w:b/>
                <w:bCs/>
              </w:rPr>
              <w:t>Yes</w:t>
            </w:r>
          </w:p>
        </w:tc>
        <w:tc>
          <w:tcPr>
            <w:tcW w:w="567" w:type="dxa"/>
          </w:tcPr>
          <w:p w:rsidR="0071797D" w:rsidRPr="0071797D" w:rsidRDefault="0071797D" w:rsidP="0071797D">
            <w:pPr>
              <w:pStyle w:val="DHHSbody"/>
              <w:rPr>
                <w:b/>
                <w:bCs/>
              </w:rPr>
            </w:pPr>
            <w:r w:rsidRPr="0071797D">
              <w:rPr>
                <w:b/>
                <w:bCs/>
              </w:rPr>
              <w:t>No</w:t>
            </w:r>
          </w:p>
        </w:tc>
        <w:tc>
          <w:tcPr>
            <w:tcW w:w="6662" w:type="dxa"/>
          </w:tcPr>
          <w:p w:rsidR="0071797D" w:rsidRPr="0071797D" w:rsidRDefault="0071797D" w:rsidP="0071797D">
            <w:pPr>
              <w:pStyle w:val="DHHSbody"/>
              <w:rPr>
                <w:b/>
                <w:bCs/>
              </w:rPr>
            </w:pPr>
            <w:r w:rsidRPr="0071797D">
              <w:rPr>
                <w:b/>
                <w:bCs/>
              </w:rPr>
              <w:t>Detailed response</w:t>
            </w:r>
          </w:p>
        </w:tc>
      </w:tr>
      <w:tr w:rsidR="0071797D" w:rsidTr="00F01C3D">
        <w:trPr>
          <w:trHeight w:val="1222"/>
        </w:trPr>
        <w:tc>
          <w:tcPr>
            <w:tcW w:w="3848" w:type="dxa"/>
          </w:tcPr>
          <w:p w:rsidR="0071797D" w:rsidRDefault="0071797D" w:rsidP="00C2319C">
            <w:pPr>
              <w:pStyle w:val="DHHSbody"/>
              <w:numPr>
                <w:ilvl w:val="0"/>
                <w:numId w:val="48"/>
              </w:numPr>
            </w:pPr>
            <w:r>
              <w:t xml:space="preserve">Collection: Is all the </w:t>
            </w:r>
            <w:r w:rsidRPr="0071797D">
              <w:t>information</w:t>
            </w:r>
            <w:r>
              <w:t xml:space="preserve"> </w:t>
            </w:r>
            <w:r>
              <w:br/>
              <w:t>collected necessary for the program?</w:t>
            </w:r>
          </w:p>
          <w:p w:rsidR="0071797D" w:rsidRDefault="0071797D" w:rsidP="0071797D">
            <w:pPr>
              <w:pStyle w:val="DHHSbody"/>
              <w:rPr>
                <w:color w:val="000000"/>
              </w:rPr>
            </w:pPr>
            <w:r>
              <w:rPr>
                <w:color w:val="000000"/>
                <w:sz w:val="24"/>
              </w:rPr>
              <w:t xml:space="preserve"> </w:t>
            </w:r>
          </w:p>
        </w:tc>
        <w:tc>
          <w:tcPr>
            <w:tcW w:w="2781" w:type="dxa"/>
          </w:tcPr>
          <w:p w:rsidR="0071797D" w:rsidRDefault="0071797D" w:rsidP="007573E5">
            <w:pPr>
              <w:pStyle w:val="DHHSbody"/>
            </w:pPr>
            <w:r>
              <w:t xml:space="preserve">IPP 1 and </w:t>
            </w:r>
            <w:r w:rsidRPr="007573E5">
              <w:t>HPP</w:t>
            </w:r>
            <w:r>
              <w:t xml:space="preserve"> 1 Privacy team</w:t>
            </w:r>
          </w:p>
        </w:tc>
        <w:tc>
          <w:tcPr>
            <w:tcW w:w="737" w:type="dxa"/>
          </w:tcPr>
          <w:p w:rsidR="0071797D" w:rsidRDefault="0071797D" w:rsidP="0071797D">
            <w:pPr>
              <w:pStyle w:val="DHHSbody"/>
              <w:rPr>
                <w:color w:val="000000"/>
              </w:rPr>
            </w:pPr>
            <w:r>
              <w:rPr>
                <w:color w:val="000000"/>
              </w:rPr>
              <w:t>Yes</w:t>
            </w:r>
          </w:p>
        </w:tc>
        <w:tc>
          <w:tcPr>
            <w:tcW w:w="567" w:type="dxa"/>
          </w:tcPr>
          <w:p w:rsidR="0071797D" w:rsidRDefault="0071797D" w:rsidP="0071797D">
            <w:pPr>
              <w:pStyle w:val="DHHSbody"/>
              <w:rPr>
                <w:color w:val="000000"/>
                <w:sz w:val="24"/>
              </w:rPr>
            </w:pPr>
            <w:r>
              <w:rPr>
                <w:color w:val="000000"/>
                <w:sz w:val="24"/>
              </w:rPr>
              <w:t xml:space="preserve"> </w:t>
            </w:r>
          </w:p>
        </w:tc>
        <w:tc>
          <w:tcPr>
            <w:tcW w:w="6662" w:type="dxa"/>
          </w:tcPr>
          <w:p w:rsidR="0071797D" w:rsidRDefault="0071797D" w:rsidP="0071797D">
            <w:pPr>
              <w:pStyle w:val="DHHSbody"/>
            </w:pPr>
            <w:r>
              <w:t xml:space="preserve">Information is the minimal collected to determine eligibility; noting that unlike other forms of housing assistance, such as access to social housing </w:t>
            </w:r>
            <w:r w:rsidRPr="0071797D">
              <w:t>through</w:t>
            </w:r>
            <w:r>
              <w:t xml:space="preserve"> the Victorian Housing Register, child information is not collected for bond loans as it has no impact on eligibility.</w:t>
            </w:r>
          </w:p>
        </w:tc>
      </w:tr>
      <w:tr w:rsidR="0071797D" w:rsidTr="00F01C3D">
        <w:trPr>
          <w:trHeight w:hRule="exact" w:val="2323"/>
        </w:trPr>
        <w:tc>
          <w:tcPr>
            <w:tcW w:w="3848" w:type="dxa"/>
          </w:tcPr>
          <w:p w:rsidR="0071797D" w:rsidRDefault="0071797D" w:rsidP="00C2319C">
            <w:pPr>
              <w:pStyle w:val="DHHSbody"/>
              <w:numPr>
                <w:ilvl w:val="0"/>
                <w:numId w:val="48"/>
              </w:numPr>
            </w:pPr>
            <w:r>
              <w:t xml:space="preserve">Notice: Have all reasonable steps been taken to inform the individual that their </w:t>
            </w:r>
            <w:r w:rsidRPr="0071797D">
              <w:t>information</w:t>
            </w:r>
            <w:r>
              <w:t xml:space="preserve"> is being collected and why, by whom, how they can access, to whom it will be disclosed?</w:t>
            </w:r>
          </w:p>
        </w:tc>
        <w:tc>
          <w:tcPr>
            <w:tcW w:w="2781" w:type="dxa"/>
          </w:tcPr>
          <w:p w:rsidR="0071797D" w:rsidRPr="0071797D" w:rsidRDefault="0071797D" w:rsidP="0071797D">
            <w:pPr>
              <w:pStyle w:val="DHHSbody"/>
            </w:pPr>
            <w:r w:rsidRPr="0071797D">
              <w:t>IPP 1 and HPP 1</w:t>
            </w:r>
          </w:p>
          <w:p w:rsidR="0071797D" w:rsidRPr="0071797D" w:rsidRDefault="0071797D" w:rsidP="0071797D">
            <w:pPr>
              <w:pStyle w:val="DHHSbody"/>
              <w:rPr>
                <w:u w:val="single"/>
              </w:rPr>
            </w:pPr>
            <w:r w:rsidRPr="0071797D">
              <w:rPr>
                <w:u w:val="single"/>
              </w:rPr>
              <w:t>Fact sheet on developing</w:t>
            </w:r>
            <w:r w:rsidRPr="0071797D">
              <w:rPr>
                <w:u w:val="single"/>
                <w:vertAlign w:val="subscript"/>
              </w:rPr>
              <w:t>.</w:t>
            </w:r>
            <w:r w:rsidRPr="0071797D">
              <w:rPr>
                <w:u w:val="single"/>
              </w:rPr>
              <w:t xml:space="preserve"> a collection notice </w:t>
            </w:r>
            <w:r w:rsidRPr="0071797D">
              <w:t>&lt;</w:t>
            </w:r>
            <w:hyperlink r:id="rId16" w:anchor="d">
              <w:r w:rsidRPr="0071797D">
                <w:rPr>
                  <w:u w:val="single"/>
                </w:rPr>
                <w:t>https://intranet.dhhs .vic.gov.au/privacy#d</w:t>
              </w:r>
            </w:hyperlink>
            <w:r w:rsidRPr="0071797D">
              <w:t>hhs-privacy-policy&gt;</w:t>
            </w:r>
          </w:p>
          <w:p w:rsidR="0071797D" w:rsidRDefault="0071797D" w:rsidP="0071797D">
            <w:pPr>
              <w:pStyle w:val="DHHSbody"/>
              <w:rPr>
                <w:color w:val="000000"/>
              </w:rPr>
            </w:pPr>
            <w:r w:rsidRPr="0071797D">
              <w:t>Privacy team</w:t>
            </w:r>
          </w:p>
        </w:tc>
        <w:tc>
          <w:tcPr>
            <w:tcW w:w="737" w:type="dxa"/>
          </w:tcPr>
          <w:p w:rsidR="0071797D" w:rsidRDefault="0071797D" w:rsidP="0071797D">
            <w:pPr>
              <w:pStyle w:val="DHHSbody"/>
              <w:rPr>
                <w:color w:val="000000"/>
              </w:rPr>
            </w:pPr>
            <w:r>
              <w:rPr>
                <w:color w:val="000000"/>
              </w:rPr>
              <w:t>Yes</w:t>
            </w:r>
          </w:p>
        </w:tc>
        <w:tc>
          <w:tcPr>
            <w:tcW w:w="567" w:type="dxa"/>
          </w:tcPr>
          <w:p w:rsidR="0071797D" w:rsidRDefault="0071797D" w:rsidP="0071797D">
            <w:pPr>
              <w:pStyle w:val="DHHSbody"/>
              <w:rPr>
                <w:color w:val="000000"/>
                <w:sz w:val="24"/>
              </w:rPr>
            </w:pPr>
            <w:r>
              <w:rPr>
                <w:color w:val="000000"/>
                <w:sz w:val="24"/>
              </w:rPr>
              <w:t xml:space="preserve"> </w:t>
            </w:r>
          </w:p>
        </w:tc>
        <w:tc>
          <w:tcPr>
            <w:tcW w:w="6662" w:type="dxa"/>
          </w:tcPr>
          <w:p w:rsidR="0071797D" w:rsidRDefault="0071797D" w:rsidP="0071797D">
            <w:pPr>
              <w:pStyle w:val="DHHSbody"/>
            </w:pPr>
            <w:r>
              <w:t>Reasons for collecting the information are set out in the accompanying information provided when completing a bond loan application.</w:t>
            </w:r>
          </w:p>
          <w:p w:rsidR="0071797D" w:rsidRDefault="0071797D" w:rsidP="0071797D">
            <w:pPr>
              <w:pStyle w:val="DHHSbody"/>
            </w:pPr>
            <w:r>
              <w:t xml:space="preserve">A draft declaration and acknowledgement for all applicants is </w:t>
            </w:r>
            <w:r w:rsidRPr="0071797D">
              <w:t>attached</w:t>
            </w:r>
            <w:r>
              <w:t xml:space="preserve"> to this PIA.</w:t>
            </w:r>
          </w:p>
        </w:tc>
      </w:tr>
      <w:tr w:rsidR="0071797D" w:rsidTr="00F01C3D">
        <w:trPr>
          <w:trHeight w:hRule="exact" w:val="839"/>
        </w:trPr>
        <w:tc>
          <w:tcPr>
            <w:tcW w:w="3848" w:type="dxa"/>
          </w:tcPr>
          <w:p w:rsidR="0071797D" w:rsidRDefault="0071797D" w:rsidP="00C2319C">
            <w:pPr>
              <w:pStyle w:val="DHHSbody"/>
              <w:numPr>
                <w:ilvl w:val="0"/>
                <w:numId w:val="48"/>
              </w:numPr>
            </w:pPr>
            <w:r>
              <w:t xml:space="preserve">Direct collection: Is all information being collected directly </w:t>
            </w:r>
            <w:r w:rsidRPr="0071797D">
              <w:t>from</w:t>
            </w:r>
            <w:r>
              <w:t xml:space="preserve"> the individual?</w:t>
            </w:r>
          </w:p>
        </w:tc>
        <w:tc>
          <w:tcPr>
            <w:tcW w:w="2781" w:type="dxa"/>
          </w:tcPr>
          <w:p w:rsidR="0071797D" w:rsidRDefault="0071797D" w:rsidP="0071797D">
            <w:pPr>
              <w:pStyle w:val="DHHSbody"/>
            </w:pPr>
            <w:r>
              <w:t xml:space="preserve">IPP 1 and </w:t>
            </w:r>
            <w:r w:rsidRPr="0071797D">
              <w:t>HPP</w:t>
            </w:r>
            <w:r>
              <w:t xml:space="preserve"> 1 Privacy team</w:t>
            </w:r>
          </w:p>
        </w:tc>
        <w:tc>
          <w:tcPr>
            <w:tcW w:w="737" w:type="dxa"/>
          </w:tcPr>
          <w:p w:rsidR="0071797D" w:rsidRDefault="0071797D" w:rsidP="0071797D">
            <w:pPr>
              <w:pStyle w:val="DHHSbody"/>
            </w:pPr>
            <w:r w:rsidRPr="0071797D">
              <w:t>Yes</w:t>
            </w:r>
          </w:p>
        </w:tc>
        <w:tc>
          <w:tcPr>
            <w:tcW w:w="567" w:type="dxa"/>
          </w:tcPr>
          <w:p w:rsidR="0071797D" w:rsidRDefault="0071797D" w:rsidP="0071797D">
            <w:pPr>
              <w:pStyle w:val="DHHSbody"/>
              <w:rPr>
                <w:color w:val="000000"/>
                <w:sz w:val="24"/>
              </w:rPr>
            </w:pPr>
            <w:r>
              <w:rPr>
                <w:color w:val="000000"/>
                <w:sz w:val="24"/>
              </w:rPr>
              <w:t xml:space="preserve"> </w:t>
            </w:r>
          </w:p>
        </w:tc>
        <w:tc>
          <w:tcPr>
            <w:tcW w:w="6662" w:type="dxa"/>
          </w:tcPr>
          <w:p w:rsidR="0071797D" w:rsidRDefault="0071797D" w:rsidP="0071797D">
            <w:pPr>
              <w:pStyle w:val="DHHSbody"/>
            </w:pPr>
            <w:r>
              <w:t xml:space="preserve">The individual (or the community service </w:t>
            </w:r>
            <w:r w:rsidRPr="0071797D">
              <w:t>organisation</w:t>
            </w:r>
            <w:r>
              <w:t xml:space="preserve"> with client consent) collates and provides all of the information</w:t>
            </w:r>
          </w:p>
        </w:tc>
      </w:tr>
      <w:tr w:rsidR="0071797D" w:rsidTr="00F01C3D">
        <w:trPr>
          <w:trHeight w:hRule="exact" w:val="839"/>
        </w:trPr>
        <w:tc>
          <w:tcPr>
            <w:tcW w:w="3848" w:type="dxa"/>
          </w:tcPr>
          <w:p w:rsidR="0071797D" w:rsidRDefault="0071797D" w:rsidP="00C2319C">
            <w:pPr>
              <w:pStyle w:val="DHHSbody"/>
              <w:numPr>
                <w:ilvl w:val="0"/>
                <w:numId w:val="48"/>
              </w:numPr>
            </w:pPr>
            <w:r>
              <w:t>Use and disclosure: Will the information only be used or disclosed for the primary purpose identified?</w:t>
            </w:r>
          </w:p>
        </w:tc>
        <w:tc>
          <w:tcPr>
            <w:tcW w:w="2781" w:type="dxa"/>
          </w:tcPr>
          <w:p w:rsidR="0071797D" w:rsidRDefault="0071797D" w:rsidP="0071797D">
            <w:pPr>
              <w:pStyle w:val="DHHSbody"/>
            </w:pPr>
            <w:r>
              <w:t xml:space="preserve">IPP 2 </w:t>
            </w:r>
            <w:r w:rsidRPr="0071797D">
              <w:t>and</w:t>
            </w:r>
            <w:r>
              <w:t xml:space="preserve"> HPP 2 Privacy team</w:t>
            </w:r>
          </w:p>
        </w:tc>
        <w:tc>
          <w:tcPr>
            <w:tcW w:w="737" w:type="dxa"/>
          </w:tcPr>
          <w:p w:rsidR="0071797D" w:rsidRDefault="0071797D" w:rsidP="0071797D">
            <w:pPr>
              <w:pStyle w:val="DHHSbody"/>
            </w:pPr>
            <w:r w:rsidRPr="0071797D">
              <w:t>Yes</w:t>
            </w:r>
          </w:p>
        </w:tc>
        <w:tc>
          <w:tcPr>
            <w:tcW w:w="567" w:type="dxa"/>
          </w:tcPr>
          <w:p w:rsidR="0071797D" w:rsidRDefault="0071797D" w:rsidP="0071797D">
            <w:pPr>
              <w:pStyle w:val="DHHSbody"/>
              <w:rPr>
                <w:color w:val="000000"/>
                <w:sz w:val="24"/>
              </w:rPr>
            </w:pPr>
            <w:r>
              <w:rPr>
                <w:color w:val="000000"/>
                <w:sz w:val="24"/>
              </w:rPr>
              <w:t xml:space="preserve"> </w:t>
            </w:r>
          </w:p>
        </w:tc>
        <w:tc>
          <w:tcPr>
            <w:tcW w:w="6662" w:type="dxa"/>
          </w:tcPr>
          <w:p w:rsidR="0071797D" w:rsidRDefault="0071797D" w:rsidP="0071797D">
            <w:pPr>
              <w:pStyle w:val="DHHSbody"/>
            </w:pPr>
            <w:r>
              <w:t>The only purpose for the information is to provide housing assistance.</w:t>
            </w:r>
          </w:p>
        </w:tc>
      </w:tr>
      <w:tr w:rsidR="0071797D" w:rsidTr="00F01C3D">
        <w:trPr>
          <w:trHeight w:hRule="exact" w:val="2418"/>
        </w:trPr>
        <w:tc>
          <w:tcPr>
            <w:tcW w:w="3848" w:type="dxa"/>
          </w:tcPr>
          <w:p w:rsidR="0071797D" w:rsidRDefault="0071797D" w:rsidP="00C2319C">
            <w:pPr>
              <w:pStyle w:val="DHHSbody"/>
              <w:numPr>
                <w:ilvl w:val="0"/>
                <w:numId w:val="48"/>
              </w:numPr>
            </w:pPr>
            <w:r>
              <w:t xml:space="preserve">Information sharing: Will the information be shared with other agencies for service delivery, data </w:t>
            </w:r>
            <w:r w:rsidRPr="0071797D">
              <w:t>matching</w:t>
            </w:r>
            <w:r>
              <w:t xml:space="preserve"> or analytics?</w:t>
            </w:r>
          </w:p>
        </w:tc>
        <w:tc>
          <w:tcPr>
            <w:tcW w:w="2781" w:type="dxa"/>
          </w:tcPr>
          <w:p w:rsidR="0071797D" w:rsidRDefault="0071797D" w:rsidP="0071797D">
            <w:pPr>
              <w:pStyle w:val="DHHSbody"/>
              <w:rPr>
                <w:color w:val="000000"/>
              </w:rPr>
            </w:pPr>
            <w:r>
              <w:rPr>
                <w:color w:val="000000"/>
              </w:rPr>
              <w:t>IPP 2 and HPP 2</w:t>
            </w:r>
          </w:p>
          <w:p w:rsidR="0071797D" w:rsidRDefault="0071797D" w:rsidP="0071797D">
            <w:pPr>
              <w:pStyle w:val="DHHSbody"/>
            </w:pPr>
            <w:r>
              <w:t xml:space="preserve">Privacy </w:t>
            </w:r>
            <w:r w:rsidRPr="0071797D">
              <w:t>team</w:t>
            </w:r>
          </w:p>
        </w:tc>
        <w:tc>
          <w:tcPr>
            <w:tcW w:w="737" w:type="dxa"/>
          </w:tcPr>
          <w:p w:rsidR="0071797D" w:rsidRDefault="0071797D" w:rsidP="0071797D">
            <w:pPr>
              <w:pStyle w:val="DHHSbody"/>
              <w:rPr>
                <w:color w:val="000000"/>
              </w:rPr>
            </w:pPr>
            <w:r>
              <w:rPr>
                <w:color w:val="000000"/>
              </w:rPr>
              <w:t>Yes</w:t>
            </w:r>
          </w:p>
        </w:tc>
        <w:tc>
          <w:tcPr>
            <w:tcW w:w="567" w:type="dxa"/>
          </w:tcPr>
          <w:p w:rsidR="0071797D" w:rsidRDefault="0071797D" w:rsidP="0071797D">
            <w:pPr>
              <w:pStyle w:val="DHHSbody"/>
              <w:rPr>
                <w:color w:val="000000"/>
                <w:sz w:val="24"/>
              </w:rPr>
            </w:pPr>
            <w:r>
              <w:rPr>
                <w:color w:val="000000"/>
                <w:sz w:val="24"/>
              </w:rPr>
              <w:t xml:space="preserve"> </w:t>
            </w:r>
          </w:p>
        </w:tc>
        <w:tc>
          <w:tcPr>
            <w:tcW w:w="6662" w:type="dxa"/>
          </w:tcPr>
          <w:p w:rsidR="0071797D" w:rsidRDefault="0071797D" w:rsidP="0071797D">
            <w:pPr>
              <w:pStyle w:val="DHHSbody"/>
            </w:pPr>
            <w:r>
              <w:t xml:space="preserve">For its primary purpose, information is lodged with the Residential Tenancy Bond Authority only for </w:t>
            </w:r>
            <w:r w:rsidRPr="0071797D">
              <w:t>bonds</w:t>
            </w:r>
            <w:r>
              <w:t xml:space="preserve"> that are approved. The data set is the minimal required by the RTBA and the real estate agent/landlord to process the bond loan voucher. The voucher doesn't include personal information such as Date of Birth or relationship status or residency status which is required by DHHS to establish eligibility for the loan.</w:t>
            </w:r>
          </w:p>
          <w:p w:rsidR="0071797D" w:rsidRDefault="0071797D" w:rsidP="0071797D">
            <w:pPr>
              <w:pStyle w:val="DHHSbody"/>
            </w:pPr>
            <w:r>
              <w:t>When reporting on volume of bond loans (for BP3 measures or other performance analysis, the data is De-identified by DHHS.</w:t>
            </w:r>
          </w:p>
        </w:tc>
      </w:tr>
      <w:tr w:rsidR="00C2319C" w:rsidTr="00F01C3D">
        <w:trPr>
          <w:trHeight w:hRule="exact" w:val="3269"/>
        </w:trPr>
        <w:tc>
          <w:tcPr>
            <w:tcW w:w="3848" w:type="dxa"/>
          </w:tcPr>
          <w:p w:rsidR="00C2319C" w:rsidRDefault="00C2319C" w:rsidP="00C2319C">
            <w:pPr>
              <w:pStyle w:val="DHHSbody"/>
              <w:numPr>
                <w:ilvl w:val="0"/>
                <w:numId w:val="48"/>
              </w:numPr>
              <w:rPr>
                <w:b/>
              </w:rPr>
            </w:pPr>
            <w:r w:rsidRPr="00C2319C">
              <w:rPr>
                <w:bCs/>
              </w:rPr>
              <w:lastRenderedPageBreak/>
              <w:t>Data quality:</w:t>
            </w:r>
            <w:r>
              <w:rPr>
                <w:b/>
              </w:rPr>
              <w:t xml:space="preserve"> </w:t>
            </w:r>
            <w:r>
              <w:t>Are reasonable steps being taken to ensure that the information collected, used or disclosed will be accurate, complete and up to date?</w:t>
            </w:r>
          </w:p>
        </w:tc>
        <w:tc>
          <w:tcPr>
            <w:tcW w:w="2781" w:type="dxa"/>
          </w:tcPr>
          <w:p w:rsidR="00C2319C" w:rsidRDefault="00C2319C" w:rsidP="00C2319C">
            <w:pPr>
              <w:pStyle w:val="DHHSbody"/>
            </w:pPr>
            <w:r>
              <w:t xml:space="preserve">IPP 3 and </w:t>
            </w:r>
            <w:r w:rsidRPr="00C2319C">
              <w:t>HPP</w:t>
            </w:r>
            <w:r>
              <w:t xml:space="preserve"> 3 Privacy team</w:t>
            </w:r>
          </w:p>
        </w:tc>
        <w:tc>
          <w:tcPr>
            <w:tcW w:w="737" w:type="dxa"/>
          </w:tcPr>
          <w:p w:rsidR="00C2319C" w:rsidRPr="00C2319C" w:rsidRDefault="00C2319C" w:rsidP="00C2319C">
            <w:pPr>
              <w:pStyle w:val="DHHSbody"/>
              <w:rPr>
                <w:bCs/>
              </w:rPr>
            </w:pPr>
            <w:r w:rsidRPr="00C2319C">
              <w:rPr>
                <w:bCs/>
              </w:rPr>
              <w:t>Yes</w:t>
            </w:r>
          </w:p>
        </w:tc>
        <w:tc>
          <w:tcPr>
            <w:tcW w:w="567" w:type="dxa"/>
          </w:tcPr>
          <w:p w:rsidR="00C2319C" w:rsidRDefault="00C2319C" w:rsidP="00C2319C">
            <w:pPr>
              <w:pStyle w:val="DHHSbody"/>
              <w:rPr>
                <w:sz w:val="24"/>
              </w:rPr>
            </w:pPr>
            <w:r>
              <w:rPr>
                <w:sz w:val="24"/>
              </w:rPr>
              <w:t xml:space="preserve"> </w:t>
            </w:r>
          </w:p>
        </w:tc>
        <w:tc>
          <w:tcPr>
            <w:tcW w:w="6662" w:type="dxa"/>
          </w:tcPr>
          <w:p w:rsidR="00C2319C" w:rsidRDefault="00C2319C" w:rsidP="00C2319C">
            <w:pPr>
              <w:pStyle w:val="DHHSbody"/>
            </w:pPr>
            <w:r>
              <w:t xml:space="preserve">Client must provide proof of identity, proof of income, Real </w:t>
            </w:r>
            <w:r w:rsidRPr="00C2319C">
              <w:t>Estate</w:t>
            </w:r>
            <w:r>
              <w:t xml:space="preserve"> or Landlord must confirm lease details, if Landlord, department must confirm ownership.</w:t>
            </w:r>
          </w:p>
          <w:p w:rsidR="00C2319C" w:rsidRDefault="00C2319C" w:rsidP="00C2319C">
            <w:pPr>
              <w:pStyle w:val="DHHSbody"/>
            </w:pPr>
            <w:r>
              <w:t>Where there is a discrepancy in information, DHHS will contact the client to ensure any issues clarified.</w:t>
            </w:r>
          </w:p>
          <w:p w:rsidR="000D7D90" w:rsidRDefault="000D7D90" w:rsidP="000D7D90">
            <w:pPr>
              <w:pStyle w:val="DHHSbody"/>
            </w:pPr>
            <w:r>
              <w:t>HiiP changes in the release will minims risk of creating duplicate bond properties records.</w:t>
            </w:r>
          </w:p>
        </w:tc>
      </w:tr>
      <w:tr w:rsidR="005A68EA" w:rsidTr="00F01C3D">
        <w:trPr>
          <w:trHeight w:hRule="exact" w:val="3269"/>
        </w:trPr>
        <w:tc>
          <w:tcPr>
            <w:tcW w:w="3848" w:type="dxa"/>
          </w:tcPr>
          <w:p w:rsidR="005A68EA" w:rsidRPr="005A68EA" w:rsidRDefault="005A68EA" w:rsidP="005A68EA">
            <w:pPr>
              <w:pStyle w:val="DHHSbody"/>
              <w:numPr>
                <w:ilvl w:val="0"/>
                <w:numId w:val="48"/>
              </w:numPr>
            </w:pPr>
            <w:r w:rsidRPr="005A68EA">
              <w:t>Data security: Are reasonable steps being taken to protect the information collected from misuse, loss, and unauthorised access, modification or</w:t>
            </w:r>
            <w:r>
              <w:t xml:space="preserve"> disclosure?</w:t>
            </w:r>
          </w:p>
        </w:tc>
        <w:tc>
          <w:tcPr>
            <w:tcW w:w="2781" w:type="dxa"/>
          </w:tcPr>
          <w:p w:rsidR="00F01C3D" w:rsidRDefault="00F01C3D" w:rsidP="00F01C3D">
            <w:pPr>
              <w:pStyle w:val="DHHSbody"/>
            </w:pPr>
            <w:r>
              <w:t>IPP 4 and HPP 4</w:t>
            </w:r>
          </w:p>
          <w:p w:rsidR="00F01C3D" w:rsidRDefault="00F01C3D" w:rsidP="00F01C3D">
            <w:pPr>
              <w:pStyle w:val="DHHSbody"/>
            </w:pPr>
            <w:r>
              <w:t>Projects MUST</w:t>
            </w:r>
          </w:p>
          <w:p w:rsidR="00F01C3D" w:rsidRDefault="00F01C3D" w:rsidP="00F01C3D">
            <w:pPr>
              <w:pStyle w:val="DHHSbody"/>
            </w:pPr>
            <w:r>
              <w:t>engage the BTIM</w:t>
            </w:r>
          </w:p>
          <w:p w:rsidR="00F01C3D" w:rsidRDefault="00F01C3D" w:rsidP="00F01C3D">
            <w:pPr>
              <w:pStyle w:val="DHHSbody"/>
            </w:pPr>
            <w:r>
              <w:t>information security</w:t>
            </w:r>
          </w:p>
          <w:p w:rsidR="005A68EA" w:rsidRDefault="00F01C3D" w:rsidP="00F01C3D">
            <w:pPr>
              <w:pStyle w:val="DHHSbody"/>
            </w:pPr>
            <w:r>
              <w:t>team to arrange an assessment</w:t>
            </w:r>
          </w:p>
        </w:tc>
        <w:tc>
          <w:tcPr>
            <w:tcW w:w="737" w:type="dxa"/>
          </w:tcPr>
          <w:p w:rsidR="005A68EA" w:rsidRPr="00C2319C" w:rsidRDefault="00F01C3D" w:rsidP="00C2319C">
            <w:pPr>
              <w:pStyle w:val="DHHSbody"/>
              <w:rPr>
                <w:bCs/>
              </w:rPr>
            </w:pPr>
            <w:r>
              <w:rPr>
                <w:bCs/>
              </w:rPr>
              <w:t>Yes</w:t>
            </w:r>
          </w:p>
        </w:tc>
        <w:tc>
          <w:tcPr>
            <w:tcW w:w="567" w:type="dxa"/>
          </w:tcPr>
          <w:p w:rsidR="005A68EA" w:rsidRDefault="005A68EA" w:rsidP="00C2319C">
            <w:pPr>
              <w:pStyle w:val="DHHSbody"/>
              <w:rPr>
                <w:sz w:val="24"/>
              </w:rPr>
            </w:pPr>
          </w:p>
        </w:tc>
        <w:tc>
          <w:tcPr>
            <w:tcW w:w="6662" w:type="dxa"/>
          </w:tcPr>
          <w:p w:rsidR="005A68EA" w:rsidRDefault="00F01C3D" w:rsidP="00F01C3D">
            <w:pPr>
              <w:pStyle w:val="DHHSbody"/>
            </w:pPr>
            <w:r w:rsidRPr="00F01C3D">
              <w:t>Business Technology Information Management (BTIM) are building the bond online form and are</w:t>
            </w:r>
            <w:r>
              <w:t xml:space="preserve"> </w:t>
            </w:r>
            <w:r w:rsidRPr="00F01C3D">
              <w:t>ensuring appropriate security assessments and</w:t>
            </w:r>
            <w:r>
              <w:t xml:space="preserve"> </w:t>
            </w:r>
            <w:r w:rsidRPr="00F01C3D">
              <w:t>safeguards are a key deliverable for both HiiP and</w:t>
            </w:r>
            <w:r>
              <w:t xml:space="preserve"> </w:t>
            </w:r>
            <w:r w:rsidRPr="00F01C3D">
              <w:t>the bond online cloud solution.</w:t>
            </w:r>
            <w:r>
              <w:t xml:space="preserve"> </w:t>
            </w:r>
            <w:r w:rsidRPr="00F01C3D">
              <w:t>Bond online application has been classified as</w:t>
            </w:r>
            <w:r>
              <w:t xml:space="preserve"> "</w:t>
            </w:r>
            <w:r w:rsidRPr="00F01C3D">
              <w:t>Protected</w:t>
            </w:r>
            <w:r>
              <w:t>" and all the required security tests such as penetration testing has been conducted successfully for self-servicing client application (via myGov) and a separate penetration testing &amp; security assessment has been scheduled for Community Organisations instance that is accessible via eBiz.</w:t>
            </w:r>
          </w:p>
        </w:tc>
      </w:tr>
      <w:tr w:rsidR="00F01C3D" w:rsidTr="00F024FD">
        <w:trPr>
          <w:trHeight w:hRule="exact" w:val="8230"/>
        </w:trPr>
        <w:tc>
          <w:tcPr>
            <w:tcW w:w="3848" w:type="dxa"/>
          </w:tcPr>
          <w:p w:rsidR="00F01C3D" w:rsidRPr="00F01C3D" w:rsidRDefault="00F01C3D" w:rsidP="00F01C3D">
            <w:pPr>
              <w:pStyle w:val="DHHSbody"/>
              <w:rPr>
                <w:b/>
              </w:rPr>
            </w:pPr>
            <w:r>
              <w:rPr>
                <w:b/>
              </w:rPr>
              <w:lastRenderedPageBreak/>
              <w:t xml:space="preserve">8. Destruction: </w:t>
            </w:r>
            <w:r>
              <w:t>Will reasonable steps</w:t>
            </w:r>
            <w:r>
              <w:rPr>
                <w:b/>
              </w:rPr>
              <w:t xml:space="preserve"> </w:t>
            </w:r>
            <w:r>
              <w:t>be taken to destroy or de-identify the</w:t>
            </w:r>
            <w:r>
              <w:rPr>
                <w:b/>
              </w:rPr>
              <w:t xml:space="preserve"> </w:t>
            </w:r>
            <w:r>
              <w:t>information if it is no longer needed (note this does not apply to a health</w:t>
            </w:r>
            <w:r>
              <w:rPr>
                <w:b/>
              </w:rPr>
              <w:t xml:space="preserve"> </w:t>
            </w:r>
            <w:r>
              <w:t>service provider)?</w:t>
            </w:r>
          </w:p>
        </w:tc>
        <w:tc>
          <w:tcPr>
            <w:tcW w:w="2781" w:type="dxa"/>
          </w:tcPr>
          <w:p w:rsidR="00F01C3D" w:rsidRDefault="00F01C3D" w:rsidP="00F01C3D">
            <w:pPr>
              <w:pStyle w:val="DHHSbody"/>
            </w:pPr>
            <w:r>
              <w:t>IPP 4</w:t>
            </w:r>
          </w:p>
          <w:p w:rsidR="00F01C3D" w:rsidRDefault="00F01C3D" w:rsidP="00F01C3D">
            <w:pPr>
              <w:pStyle w:val="DHHSbody"/>
              <w:rPr>
                <w:i/>
              </w:rPr>
            </w:pPr>
            <w:r>
              <w:rPr>
                <w:i/>
              </w:rPr>
              <w:t>Public Records Act 1973</w:t>
            </w:r>
          </w:p>
          <w:p w:rsidR="00F01C3D" w:rsidRPr="00DF37DA" w:rsidRDefault="00F01C3D" w:rsidP="00F01C3D">
            <w:pPr>
              <w:pStyle w:val="DHHSbody"/>
            </w:pPr>
            <w:r w:rsidRPr="00DF37DA">
              <w:t>Records management team</w:t>
            </w:r>
          </w:p>
          <w:p w:rsidR="00F01C3D" w:rsidRDefault="00F01C3D" w:rsidP="00F01C3D">
            <w:pPr>
              <w:pStyle w:val="DHHSbody"/>
            </w:pPr>
          </w:p>
        </w:tc>
        <w:tc>
          <w:tcPr>
            <w:tcW w:w="737" w:type="dxa"/>
          </w:tcPr>
          <w:p w:rsidR="00F01C3D" w:rsidRDefault="00F01C3D" w:rsidP="00F01C3D">
            <w:pPr>
              <w:pStyle w:val="DHHSbody"/>
              <w:rPr>
                <w:bCs/>
              </w:rPr>
            </w:pPr>
            <w:r>
              <w:rPr>
                <w:bCs/>
              </w:rPr>
              <w:t>Yes</w:t>
            </w:r>
          </w:p>
        </w:tc>
        <w:tc>
          <w:tcPr>
            <w:tcW w:w="567" w:type="dxa"/>
          </w:tcPr>
          <w:p w:rsidR="00F01C3D" w:rsidRDefault="00F01C3D" w:rsidP="00F01C3D">
            <w:pPr>
              <w:pStyle w:val="DHHSbody"/>
              <w:rPr>
                <w:sz w:val="24"/>
              </w:rPr>
            </w:pPr>
          </w:p>
        </w:tc>
        <w:tc>
          <w:tcPr>
            <w:tcW w:w="6662" w:type="dxa"/>
          </w:tcPr>
          <w:p w:rsidR="00F01C3D" w:rsidRDefault="00F01C3D" w:rsidP="00F024FD">
            <w:pPr>
              <w:pStyle w:val="DHHSbody"/>
            </w:pPr>
            <w:r>
              <w:t>Destruction of housing data forms a schedule to the DHHS Retention and Disposal Authority.</w:t>
            </w:r>
            <w:r w:rsidR="00F024FD">
              <w:t xml:space="preserve"> </w:t>
            </w:r>
            <w:r>
              <w:t>Where a debt arises from a bond loan, the record is retained pending recovery of that loan.</w:t>
            </w:r>
            <w:r w:rsidR="009B2DB0">
              <w:t xml:space="preserve"> </w:t>
            </w:r>
            <w:r>
              <w:t>Bond online application has enforced purging rules to remove all sensitive data relevant to client information as per the following requirements:</w:t>
            </w:r>
          </w:p>
          <w:p w:rsidR="00F01C3D" w:rsidRDefault="00F01C3D" w:rsidP="00F01C3D">
            <w:pPr>
              <w:pStyle w:val="DHHSbody"/>
              <w:rPr>
                <w:b/>
              </w:rPr>
            </w:pPr>
            <w:r>
              <w:rPr>
                <w:b/>
              </w:rPr>
              <w:t>A. For self-servicing clients (via MyGov):</w:t>
            </w:r>
          </w:p>
          <w:p w:rsidR="00F01C3D" w:rsidRDefault="00F01C3D" w:rsidP="009B2DB0">
            <w:pPr>
              <w:pStyle w:val="DHHSbody"/>
            </w:pPr>
            <w:r>
              <w:t>For submitted applications, all for</w:t>
            </w:r>
            <w:r w:rsidR="009B2DB0">
              <w:t xml:space="preserve">m </w:t>
            </w:r>
            <w:r>
              <w:t>data will be deleted after 30 days except a subset of information</w:t>
            </w:r>
            <w:r w:rsidR="00F024FD">
              <w:t xml:space="preserve"> </w:t>
            </w:r>
            <w:r>
              <w:t>to retain to help clients view their historical information from the manage applications dashboard.</w:t>
            </w:r>
            <w:r w:rsidR="009B2DB0">
              <w:t xml:space="preserve"> For example client first name, client last name, n</w:t>
            </w:r>
            <w:r>
              <w:t>ames of the additional applicants</w:t>
            </w:r>
            <w:r w:rsidR="009B2DB0">
              <w:t>, a</w:t>
            </w:r>
            <w:r>
              <w:t>pplication Reference Number</w:t>
            </w:r>
            <w:r w:rsidR="009B2DB0">
              <w:t>, s</w:t>
            </w:r>
            <w:r>
              <w:t>tatus (Submitted)</w:t>
            </w:r>
            <w:r w:rsidR="009B2DB0">
              <w:t>, l</w:t>
            </w:r>
            <w:r>
              <w:t>ist of property addresses</w:t>
            </w:r>
            <w:r w:rsidR="00F024FD">
              <w:t xml:space="preserve"> (flat/unit number, street number, street name, street type, suburb/town, State, postcode)</w:t>
            </w:r>
            <w:r w:rsidR="009B2DB0">
              <w:t>, l</w:t>
            </w:r>
            <w:r w:rsidR="00F024FD">
              <w:t>ast edited date and last edited by</w:t>
            </w:r>
            <w:r w:rsidR="009B2DB0">
              <w:t>, p</w:t>
            </w:r>
            <w:r w:rsidR="00F024FD">
              <w:t>roperty bond amount</w:t>
            </w:r>
            <w:r w:rsidR="009B2DB0">
              <w:t xml:space="preserve"> and </w:t>
            </w:r>
            <w:r>
              <w:t xml:space="preserve">Real Estate Agent/Private Landlord </w:t>
            </w:r>
            <w:r w:rsidR="009B2DB0">
              <w:t>n</w:t>
            </w:r>
            <w:r>
              <w:t>ame</w:t>
            </w:r>
            <w:r w:rsidR="009B2DB0">
              <w:t>.</w:t>
            </w:r>
          </w:p>
          <w:p w:rsidR="00F01C3D" w:rsidRDefault="00F01C3D" w:rsidP="00F024FD">
            <w:pPr>
              <w:pStyle w:val="DHHSbody"/>
            </w:pPr>
            <w:r>
              <w:t>Whereas for Draft Applications, all form submitted data will be deleted after 30 days and Instantly for withdrawn applications including all attached documents.</w:t>
            </w:r>
          </w:p>
          <w:p w:rsidR="009B2DB0" w:rsidRPr="009B2DB0" w:rsidRDefault="009B2DB0" w:rsidP="009B2DB0">
            <w:pPr>
              <w:pStyle w:val="DHHSbody"/>
              <w:rPr>
                <w:b/>
                <w:bCs/>
              </w:rPr>
            </w:pPr>
            <w:r w:rsidRPr="009B2DB0">
              <w:rPr>
                <w:b/>
                <w:bCs/>
              </w:rPr>
              <w:t>B.</w:t>
            </w:r>
            <w:r>
              <w:rPr>
                <w:b/>
                <w:bCs/>
              </w:rPr>
              <w:t xml:space="preserve"> </w:t>
            </w:r>
            <w:r w:rsidRPr="009B2DB0">
              <w:rPr>
                <w:b/>
                <w:bCs/>
              </w:rPr>
              <w:t>For Community Organisations (via eBiz):</w:t>
            </w:r>
          </w:p>
          <w:p w:rsidR="009B2DB0" w:rsidRDefault="009B2DB0" w:rsidP="009B2DB0">
            <w:pPr>
              <w:pStyle w:val="DHHSbody"/>
            </w:pPr>
            <w:r>
              <w:t xml:space="preserve">For Draft/Submit Applications: All form submitted data will be removed </w:t>
            </w:r>
            <w:r w:rsidRPr="009B2DB0">
              <w:t>after</w:t>
            </w:r>
            <w:r>
              <w:t xml:space="preserve"> 60 days and Instantly for withdrawn applications. </w:t>
            </w:r>
            <w:r w:rsidRPr="009B2DB0">
              <w:t>For</w:t>
            </w:r>
            <w:r>
              <w:t xml:space="preserve"> both self-servicing clients &amp; community organisations staff assisted clients, some basic non-personal &amp; non-identifiable information such as Created Date, Application Ref ID, Status, Created By, Updated Date, Updated By is retained for reporting purposes. </w:t>
            </w:r>
            <w:r w:rsidRPr="009B2DB0">
              <w:t>And all supporting client documents attached will be deleted from the bond online database as soon as the submitted application is successfully transferred via API and stored in HiiP (Housing Core System).</w:t>
            </w:r>
          </w:p>
          <w:p w:rsidR="009B2DB0" w:rsidRDefault="009B2DB0" w:rsidP="00F024FD">
            <w:pPr>
              <w:pStyle w:val="DHHSbody"/>
            </w:pPr>
          </w:p>
        </w:tc>
      </w:tr>
      <w:tr w:rsidR="00F01C3D" w:rsidTr="00F024FD">
        <w:trPr>
          <w:trHeight w:hRule="exact" w:val="1274"/>
        </w:trPr>
        <w:tc>
          <w:tcPr>
            <w:tcW w:w="3848" w:type="dxa"/>
          </w:tcPr>
          <w:p w:rsidR="00F01C3D" w:rsidRPr="00C2319C" w:rsidRDefault="00F01C3D" w:rsidP="00F01C3D">
            <w:pPr>
              <w:pStyle w:val="DHHSbody"/>
              <w:rPr>
                <w:bCs/>
              </w:rPr>
            </w:pPr>
            <w:r>
              <w:rPr>
                <w:b/>
              </w:rPr>
              <w:lastRenderedPageBreak/>
              <w:t xml:space="preserve">9. Identifiers: </w:t>
            </w:r>
            <w:r>
              <w:t>Will this program assign a unique identifier or use a unique identifier of another organisation?</w:t>
            </w:r>
          </w:p>
        </w:tc>
        <w:tc>
          <w:tcPr>
            <w:tcW w:w="2781" w:type="dxa"/>
          </w:tcPr>
          <w:p w:rsidR="00F01C3D" w:rsidRDefault="00F01C3D" w:rsidP="00F01C3D">
            <w:pPr>
              <w:pStyle w:val="DHHSbody"/>
            </w:pPr>
            <w:r>
              <w:t>IPP 7 and HPP 7 Privacy team</w:t>
            </w:r>
          </w:p>
        </w:tc>
        <w:tc>
          <w:tcPr>
            <w:tcW w:w="737" w:type="dxa"/>
          </w:tcPr>
          <w:p w:rsidR="00F01C3D" w:rsidRPr="00C2319C" w:rsidRDefault="00F01C3D" w:rsidP="00F01C3D">
            <w:pPr>
              <w:pStyle w:val="DHHSbody"/>
              <w:rPr>
                <w:bCs/>
              </w:rPr>
            </w:pPr>
            <w:r>
              <w:rPr>
                <w:bCs/>
              </w:rPr>
              <w:t>Yes</w:t>
            </w:r>
          </w:p>
        </w:tc>
        <w:tc>
          <w:tcPr>
            <w:tcW w:w="567" w:type="dxa"/>
          </w:tcPr>
          <w:p w:rsidR="00F01C3D" w:rsidRDefault="00F01C3D" w:rsidP="00F01C3D">
            <w:pPr>
              <w:pStyle w:val="DHHSbody"/>
              <w:rPr>
                <w:sz w:val="24"/>
              </w:rPr>
            </w:pPr>
          </w:p>
        </w:tc>
        <w:tc>
          <w:tcPr>
            <w:tcW w:w="6662" w:type="dxa"/>
          </w:tcPr>
          <w:p w:rsidR="00F01C3D" w:rsidRDefault="00F01C3D" w:rsidP="00F01C3D">
            <w:pPr>
              <w:pStyle w:val="DHHSbody"/>
            </w:pPr>
            <w:r>
              <w:t xml:space="preserve">Each HiiP client has a unique ID, each bond application has a unique ID in HiiP, each RTBA </w:t>
            </w:r>
            <w:r w:rsidRPr="00F01C3D">
              <w:t>Voucher</w:t>
            </w:r>
            <w:r>
              <w:t xml:space="preserve"> from HiiP has a unique ID, Each RTBA record has a unique ID, all linked in HiiP.</w:t>
            </w:r>
          </w:p>
          <w:p w:rsidR="00F01C3D" w:rsidRPr="00F01C3D" w:rsidRDefault="00F01C3D" w:rsidP="00F01C3D"/>
        </w:tc>
      </w:tr>
      <w:tr w:rsidR="00F01C3D" w:rsidTr="00F01C3D">
        <w:trPr>
          <w:trHeight w:hRule="exact" w:val="1568"/>
        </w:trPr>
        <w:tc>
          <w:tcPr>
            <w:tcW w:w="3848" w:type="dxa"/>
          </w:tcPr>
          <w:p w:rsidR="00F01C3D" w:rsidRDefault="00F01C3D" w:rsidP="00F01C3D">
            <w:pPr>
              <w:pStyle w:val="DHHSbody"/>
              <w:rPr>
                <w:b/>
              </w:rPr>
            </w:pPr>
            <w:r>
              <w:rPr>
                <w:b/>
              </w:rPr>
              <w:t xml:space="preserve">10. Anonymity: </w:t>
            </w:r>
            <w:r>
              <w:t>Can individuals remain anonymous for the purpose of the program?</w:t>
            </w:r>
          </w:p>
        </w:tc>
        <w:tc>
          <w:tcPr>
            <w:tcW w:w="2781" w:type="dxa"/>
          </w:tcPr>
          <w:p w:rsidR="00F01C3D" w:rsidRDefault="00F01C3D" w:rsidP="00F01C3D">
            <w:pPr>
              <w:pStyle w:val="DHHSbody"/>
            </w:pPr>
            <w:r>
              <w:t xml:space="preserve">IPP 8 and </w:t>
            </w:r>
            <w:r w:rsidRPr="00F01C3D">
              <w:t>HPP</w:t>
            </w:r>
            <w:r>
              <w:t xml:space="preserve"> 8 Privacy team</w:t>
            </w:r>
          </w:p>
        </w:tc>
        <w:tc>
          <w:tcPr>
            <w:tcW w:w="737" w:type="dxa"/>
          </w:tcPr>
          <w:p w:rsidR="00F01C3D" w:rsidRDefault="00F01C3D" w:rsidP="00F01C3D">
            <w:pPr>
              <w:pStyle w:val="DHHSbody"/>
              <w:rPr>
                <w:sz w:val="24"/>
              </w:rPr>
            </w:pPr>
            <w:r>
              <w:rPr>
                <w:sz w:val="24"/>
              </w:rPr>
              <w:t xml:space="preserve"> </w:t>
            </w:r>
          </w:p>
        </w:tc>
        <w:tc>
          <w:tcPr>
            <w:tcW w:w="567" w:type="dxa"/>
          </w:tcPr>
          <w:p w:rsidR="00F01C3D" w:rsidRDefault="00F01C3D" w:rsidP="00F01C3D">
            <w:pPr>
              <w:pStyle w:val="DHHSbody"/>
            </w:pPr>
            <w:r>
              <w:t>No</w:t>
            </w:r>
          </w:p>
        </w:tc>
        <w:tc>
          <w:tcPr>
            <w:tcW w:w="6662" w:type="dxa"/>
          </w:tcPr>
          <w:p w:rsidR="00F01C3D" w:rsidRDefault="00F01C3D" w:rsidP="00F01C3D">
            <w:pPr>
              <w:pStyle w:val="DHHSbody"/>
            </w:pPr>
            <w:r>
              <w:t>No — their information is needed to determine eligibility.</w:t>
            </w:r>
          </w:p>
        </w:tc>
      </w:tr>
      <w:tr w:rsidR="00F01C3D" w:rsidTr="00F01C3D">
        <w:trPr>
          <w:trHeight w:hRule="exact" w:val="1426"/>
        </w:trPr>
        <w:tc>
          <w:tcPr>
            <w:tcW w:w="3848" w:type="dxa"/>
          </w:tcPr>
          <w:p w:rsidR="00F01C3D" w:rsidRDefault="00F01C3D" w:rsidP="00F01C3D">
            <w:pPr>
              <w:pStyle w:val="DHHSbody"/>
              <w:rPr>
                <w:b/>
              </w:rPr>
            </w:pPr>
            <w:r>
              <w:rPr>
                <w:b/>
              </w:rPr>
              <w:t xml:space="preserve">11. Transborder data flows: </w:t>
            </w:r>
            <w:r>
              <w:t xml:space="preserve">Will the program transfer the </w:t>
            </w:r>
            <w:r w:rsidRPr="000D7D90">
              <w:t>information</w:t>
            </w:r>
            <w:r>
              <w:t xml:space="preserve"> to an organisation or person outside of Victoria?</w:t>
            </w:r>
          </w:p>
        </w:tc>
        <w:tc>
          <w:tcPr>
            <w:tcW w:w="2781" w:type="dxa"/>
          </w:tcPr>
          <w:p w:rsidR="00F01C3D" w:rsidRDefault="00F01C3D" w:rsidP="00F01C3D">
            <w:pPr>
              <w:pStyle w:val="DHHSbody"/>
            </w:pPr>
            <w:r>
              <w:t>IPP 9 and HPP 9</w:t>
            </w:r>
          </w:p>
          <w:p w:rsidR="00F01C3D" w:rsidRDefault="00F01C3D" w:rsidP="00F01C3D">
            <w:pPr>
              <w:pStyle w:val="DHHSbody"/>
            </w:pPr>
            <w:r>
              <w:t xml:space="preserve">Projects MUST engage the BTIM </w:t>
            </w:r>
            <w:r w:rsidRPr="000D7D90">
              <w:t>information</w:t>
            </w:r>
            <w:r>
              <w:t xml:space="preserve"> security team to arrange an assessment</w:t>
            </w:r>
          </w:p>
        </w:tc>
        <w:tc>
          <w:tcPr>
            <w:tcW w:w="737" w:type="dxa"/>
          </w:tcPr>
          <w:p w:rsidR="00F01C3D" w:rsidRDefault="00F01C3D" w:rsidP="00F01C3D">
            <w:pPr>
              <w:pStyle w:val="DHHSbody"/>
              <w:rPr>
                <w:sz w:val="24"/>
              </w:rPr>
            </w:pPr>
            <w:r>
              <w:rPr>
                <w:sz w:val="24"/>
              </w:rPr>
              <w:t xml:space="preserve"> </w:t>
            </w:r>
          </w:p>
        </w:tc>
        <w:tc>
          <w:tcPr>
            <w:tcW w:w="567" w:type="dxa"/>
          </w:tcPr>
          <w:p w:rsidR="00F01C3D" w:rsidRDefault="00F01C3D" w:rsidP="00F01C3D">
            <w:pPr>
              <w:pStyle w:val="DHHSbody"/>
            </w:pPr>
            <w:r>
              <w:t>No</w:t>
            </w:r>
          </w:p>
        </w:tc>
        <w:tc>
          <w:tcPr>
            <w:tcW w:w="6662" w:type="dxa"/>
          </w:tcPr>
          <w:p w:rsidR="00F01C3D" w:rsidRDefault="00F01C3D" w:rsidP="00F01C3D">
            <w:pPr>
              <w:pStyle w:val="DHHSbody"/>
            </w:pPr>
            <w:r w:rsidRPr="000D7D90">
              <w:t>Director</w:t>
            </w:r>
            <w:r>
              <w:t xml:space="preserve"> of Housing only has powers in Victoria.</w:t>
            </w:r>
          </w:p>
          <w:p w:rsidR="00F01C3D" w:rsidRDefault="00F01C3D" w:rsidP="00F01C3D">
            <w:pPr>
              <w:pStyle w:val="DHHSbody"/>
            </w:pPr>
            <w:r>
              <w:t xml:space="preserve">The bond loan online application form while accessed via myGov is </w:t>
            </w:r>
            <w:r w:rsidRPr="000D7D90">
              <w:t>located</w:t>
            </w:r>
            <w:r>
              <w:t xml:space="preserve"> on a Victorian Housing portal operated by State DHHS and therefore the data is not accessible by a third party via myGov.</w:t>
            </w:r>
          </w:p>
        </w:tc>
      </w:tr>
      <w:tr w:rsidR="00F01C3D" w:rsidTr="00F01C3D">
        <w:trPr>
          <w:trHeight w:hRule="exact" w:val="1132"/>
        </w:trPr>
        <w:tc>
          <w:tcPr>
            <w:tcW w:w="3848" w:type="dxa"/>
          </w:tcPr>
          <w:p w:rsidR="00F01C3D" w:rsidRDefault="00F01C3D" w:rsidP="00F01C3D">
            <w:pPr>
              <w:pStyle w:val="DHHSbody"/>
              <w:rPr>
                <w:b/>
              </w:rPr>
            </w:pPr>
            <w:r>
              <w:rPr>
                <w:b/>
              </w:rPr>
              <w:t xml:space="preserve">12. Sensitive information: </w:t>
            </w:r>
            <w:r>
              <w:t xml:space="preserve">Will this program collect </w:t>
            </w:r>
            <w:r w:rsidRPr="005A68EA">
              <w:t>sensitive</w:t>
            </w:r>
            <w:r>
              <w:t xml:space="preserve"> information?</w:t>
            </w:r>
          </w:p>
        </w:tc>
        <w:tc>
          <w:tcPr>
            <w:tcW w:w="2781" w:type="dxa"/>
          </w:tcPr>
          <w:p w:rsidR="00F01C3D" w:rsidRDefault="00F01C3D" w:rsidP="00F01C3D">
            <w:pPr>
              <w:pStyle w:val="DHHSbody"/>
            </w:pPr>
            <w:r>
              <w:t>IPP 10</w:t>
            </w:r>
            <w:r>
              <w:rPr>
                <w:vertAlign w:val="superscript"/>
              </w:rPr>
              <w:t>1</w:t>
            </w:r>
            <w:r>
              <w:t xml:space="preserve"> </w:t>
            </w:r>
          </w:p>
          <w:p w:rsidR="00F01C3D" w:rsidRDefault="00F01C3D" w:rsidP="00F01C3D">
            <w:pPr>
              <w:pStyle w:val="DHHSbody"/>
            </w:pPr>
            <w:r>
              <w:t xml:space="preserve">Privacy </w:t>
            </w:r>
            <w:r w:rsidRPr="005A68EA">
              <w:t>team</w:t>
            </w:r>
          </w:p>
        </w:tc>
        <w:tc>
          <w:tcPr>
            <w:tcW w:w="737" w:type="dxa"/>
          </w:tcPr>
          <w:p w:rsidR="00F01C3D" w:rsidRDefault="00F01C3D" w:rsidP="00F01C3D">
            <w:pPr>
              <w:pStyle w:val="DHHSbody"/>
            </w:pPr>
            <w:r w:rsidRPr="007573E5">
              <w:t>Yes</w:t>
            </w:r>
          </w:p>
        </w:tc>
        <w:tc>
          <w:tcPr>
            <w:tcW w:w="567" w:type="dxa"/>
          </w:tcPr>
          <w:p w:rsidR="00F01C3D" w:rsidRDefault="00F01C3D" w:rsidP="00F01C3D">
            <w:pPr>
              <w:pStyle w:val="DHHSbody"/>
              <w:rPr>
                <w:sz w:val="24"/>
              </w:rPr>
            </w:pPr>
            <w:r>
              <w:rPr>
                <w:sz w:val="24"/>
              </w:rPr>
              <w:t xml:space="preserve"> </w:t>
            </w:r>
          </w:p>
        </w:tc>
        <w:tc>
          <w:tcPr>
            <w:tcW w:w="6662" w:type="dxa"/>
          </w:tcPr>
          <w:p w:rsidR="00F01C3D" w:rsidRDefault="00F01C3D" w:rsidP="00F01C3D">
            <w:pPr>
              <w:pStyle w:val="DHHSbody"/>
            </w:pPr>
            <w:r>
              <w:t xml:space="preserve">The bond loan application does not require collection of </w:t>
            </w:r>
            <w:r w:rsidRPr="005A68EA">
              <w:t>sensitive</w:t>
            </w:r>
            <w:r>
              <w:t xml:space="preserve"> information other than information relating to 'racial or ethnic origin' as eligibility for the bond requires Australian citizenship.</w:t>
            </w:r>
          </w:p>
        </w:tc>
      </w:tr>
      <w:tr w:rsidR="00F01C3D" w:rsidTr="00F01C3D">
        <w:trPr>
          <w:trHeight w:hRule="exact" w:val="1284"/>
        </w:trPr>
        <w:tc>
          <w:tcPr>
            <w:tcW w:w="3848" w:type="dxa"/>
          </w:tcPr>
          <w:p w:rsidR="00F01C3D" w:rsidRDefault="00F01C3D" w:rsidP="00F01C3D">
            <w:pPr>
              <w:pStyle w:val="DHHSbody"/>
              <w:rPr>
                <w:b/>
              </w:rPr>
            </w:pPr>
            <w:r>
              <w:rPr>
                <w:b/>
              </w:rPr>
              <w:t xml:space="preserve">13. Re-identification: </w:t>
            </w:r>
            <w:r>
              <w:t xml:space="preserve">Will the program involve de-identified information that may be re-identified through the linking of </w:t>
            </w:r>
            <w:r w:rsidRPr="005A68EA">
              <w:t>data</w:t>
            </w:r>
            <w:r>
              <w:t xml:space="preserve"> or other information?</w:t>
            </w:r>
          </w:p>
        </w:tc>
        <w:tc>
          <w:tcPr>
            <w:tcW w:w="2781" w:type="dxa"/>
          </w:tcPr>
          <w:p w:rsidR="00F01C3D" w:rsidRDefault="00F01C3D" w:rsidP="00F01C3D">
            <w:pPr>
              <w:pStyle w:val="DHHSbody"/>
            </w:pPr>
            <w:r>
              <w:t xml:space="preserve">Privacy </w:t>
            </w:r>
            <w:r w:rsidRPr="005A68EA">
              <w:t>team</w:t>
            </w:r>
          </w:p>
        </w:tc>
        <w:tc>
          <w:tcPr>
            <w:tcW w:w="737" w:type="dxa"/>
          </w:tcPr>
          <w:p w:rsidR="00F01C3D" w:rsidRDefault="00F01C3D" w:rsidP="00F01C3D">
            <w:pPr>
              <w:pStyle w:val="DHHSbody"/>
            </w:pPr>
            <w:r w:rsidRPr="007573E5">
              <w:t>Yes</w:t>
            </w:r>
          </w:p>
        </w:tc>
        <w:tc>
          <w:tcPr>
            <w:tcW w:w="567" w:type="dxa"/>
          </w:tcPr>
          <w:p w:rsidR="00F01C3D" w:rsidRDefault="00F01C3D" w:rsidP="00F01C3D">
            <w:pPr>
              <w:pStyle w:val="DHHSbody"/>
              <w:rPr>
                <w:sz w:val="24"/>
              </w:rPr>
            </w:pPr>
            <w:r>
              <w:rPr>
                <w:sz w:val="24"/>
              </w:rPr>
              <w:t xml:space="preserve"> </w:t>
            </w:r>
          </w:p>
        </w:tc>
        <w:tc>
          <w:tcPr>
            <w:tcW w:w="6662" w:type="dxa"/>
          </w:tcPr>
          <w:p w:rsidR="00F01C3D" w:rsidRDefault="00F01C3D" w:rsidP="00F01C3D">
            <w:pPr>
              <w:pStyle w:val="DHHSbody"/>
            </w:pPr>
            <w:r>
              <w:t xml:space="preserve">DHHS housing has no plans at this point for data linkage for bond loan </w:t>
            </w:r>
            <w:r w:rsidRPr="005A68EA">
              <w:t>applications</w:t>
            </w:r>
            <w:r>
              <w:t>.</w:t>
            </w:r>
          </w:p>
        </w:tc>
      </w:tr>
      <w:tr w:rsidR="00F01C3D" w:rsidTr="00F01C3D">
        <w:trPr>
          <w:trHeight w:hRule="exact" w:val="1284"/>
        </w:trPr>
        <w:tc>
          <w:tcPr>
            <w:tcW w:w="3848" w:type="dxa"/>
          </w:tcPr>
          <w:p w:rsidR="00F01C3D" w:rsidRDefault="00F01C3D" w:rsidP="00F01C3D">
            <w:pPr>
              <w:pStyle w:val="DHHSbody"/>
              <w:rPr>
                <w:b/>
              </w:rPr>
            </w:pPr>
            <w:r>
              <w:rPr>
                <w:b/>
              </w:rPr>
              <w:t xml:space="preserve">14. Access and correction: </w:t>
            </w:r>
            <w:r>
              <w:t xml:space="preserve">Are there any </w:t>
            </w:r>
            <w:r w:rsidRPr="005A68EA">
              <w:t>restrictions</w:t>
            </w:r>
            <w:r>
              <w:t xml:space="preserve"> that would </w:t>
            </w:r>
            <w:r w:rsidRPr="005A68EA">
              <w:t>prevent</w:t>
            </w:r>
            <w:r>
              <w:t xml:space="preserve"> individuals from accessing or correcting their information?</w:t>
            </w:r>
          </w:p>
        </w:tc>
        <w:tc>
          <w:tcPr>
            <w:tcW w:w="2781" w:type="dxa"/>
          </w:tcPr>
          <w:p w:rsidR="00F01C3D" w:rsidRDefault="00F01C3D" w:rsidP="00F01C3D">
            <w:pPr>
              <w:pStyle w:val="DHHSbody"/>
            </w:pPr>
            <w:r>
              <w:t xml:space="preserve">Freedom of </w:t>
            </w:r>
            <w:r>
              <w:br/>
            </w:r>
            <w:r w:rsidRPr="005A68EA">
              <w:t>Information</w:t>
            </w:r>
            <w:r>
              <w:t xml:space="preserve"> team</w:t>
            </w:r>
          </w:p>
          <w:p w:rsidR="00F01C3D" w:rsidRDefault="00F01C3D" w:rsidP="00F01C3D">
            <w:pPr>
              <w:pStyle w:val="DHHSbody"/>
            </w:pPr>
            <w:r>
              <w:t>Privacy policy</w:t>
            </w:r>
          </w:p>
        </w:tc>
        <w:tc>
          <w:tcPr>
            <w:tcW w:w="737" w:type="dxa"/>
          </w:tcPr>
          <w:p w:rsidR="00F01C3D" w:rsidRDefault="00F01C3D" w:rsidP="00F01C3D">
            <w:pPr>
              <w:pStyle w:val="DHHSbody"/>
              <w:rPr>
                <w:sz w:val="24"/>
              </w:rPr>
            </w:pPr>
            <w:r>
              <w:rPr>
                <w:sz w:val="24"/>
              </w:rPr>
              <w:t xml:space="preserve"> </w:t>
            </w:r>
          </w:p>
        </w:tc>
        <w:tc>
          <w:tcPr>
            <w:tcW w:w="567" w:type="dxa"/>
          </w:tcPr>
          <w:p w:rsidR="00F01C3D" w:rsidRDefault="00F01C3D" w:rsidP="00F01C3D">
            <w:pPr>
              <w:pStyle w:val="DHHSbody"/>
            </w:pPr>
            <w:r w:rsidRPr="005A68EA">
              <w:t>No</w:t>
            </w:r>
          </w:p>
        </w:tc>
        <w:tc>
          <w:tcPr>
            <w:tcW w:w="6662" w:type="dxa"/>
          </w:tcPr>
          <w:p w:rsidR="00F01C3D" w:rsidRDefault="00F01C3D" w:rsidP="00F01C3D">
            <w:pPr>
              <w:pStyle w:val="DHHSbody"/>
            </w:pPr>
            <w:r>
              <w:t xml:space="preserve">Intention is that online bond loan applicants will have </w:t>
            </w:r>
            <w:r w:rsidRPr="005A68EA">
              <w:t>information</w:t>
            </w:r>
            <w:r>
              <w:t xml:space="preserve"> about their bond provided through DHHS Portal accessible via myGov and will be able to advise changes are required.</w:t>
            </w:r>
          </w:p>
        </w:tc>
      </w:tr>
    </w:tbl>
    <w:p w:rsidR="0071797D" w:rsidRDefault="0071797D" w:rsidP="0071797D">
      <w:pPr>
        <w:spacing w:after="565" w:line="20" w:lineRule="exact"/>
      </w:pPr>
    </w:p>
    <w:p w:rsidR="0071797D" w:rsidRDefault="0071797D" w:rsidP="0071797D">
      <w:pPr>
        <w:sectPr w:rsidR="0071797D">
          <w:pgSz w:w="16848" w:h="11909" w:orient="landscape"/>
          <w:pgMar w:top="1400" w:right="879" w:bottom="214" w:left="1018" w:header="720" w:footer="720" w:gutter="0"/>
          <w:cols w:space="720"/>
        </w:sectPr>
      </w:pPr>
    </w:p>
    <w:p w:rsidR="0071797D" w:rsidRDefault="009B2DB0" w:rsidP="009B2DB0">
      <w:pPr>
        <w:pStyle w:val="DHHSbody"/>
        <w:sectPr w:rsidR="0071797D">
          <w:type w:val="continuous"/>
          <w:pgSz w:w="16848" w:h="11909" w:orient="landscape"/>
          <w:pgMar w:top="1260" w:right="6430" w:bottom="224" w:left="1138" w:header="720" w:footer="720" w:gutter="0"/>
          <w:cols w:space="720"/>
        </w:sectPr>
      </w:pPr>
      <w:r w:rsidRPr="007573E5">
        <w:t>Note that sensitive information</w:t>
      </w:r>
      <w:r>
        <w:t xml:space="preserve"> only relates to "personal information not "health information".</w:t>
      </w:r>
    </w:p>
    <w:p w:rsidR="0071797D" w:rsidRDefault="0071797D" w:rsidP="009B2DB0">
      <w:pPr>
        <w:spacing w:after="4648" w:line="20" w:lineRule="exact"/>
        <w:sectPr w:rsidR="0071797D">
          <w:type w:val="continuous"/>
          <w:pgSz w:w="16848" w:h="11909" w:orient="landscape"/>
          <w:pgMar w:top="1260" w:right="6455" w:bottom="214" w:left="1033" w:header="720" w:footer="720" w:gutter="0"/>
          <w:cols w:space="720"/>
        </w:sectPr>
      </w:pPr>
      <w:r>
        <w:rPr>
          <w:noProof/>
        </w:rPr>
        <mc:AlternateContent>
          <mc:Choice Requires="wps">
            <w:drawing>
              <wp:anchor distT="0" distB="0" distL="114300" distR="114300" simplePos="0" relativeHeight="251662336" behindDoc="0" locked="0" layoutInCell="1" allowOverlap="1" wp14:anchorId="279B0F29" wp14:editId="02A17050">
                <wp:simplePos x="0" y="0"/>
                <wp:positionH relativeFrom="page">
                  <wp:posOffset>732155</wp:posOffset>
                </wp:positionH>
                <wp:positionV relativeFrom="page">
                  <wp:posOffset>6473825</wp:posOffset>
                </wp:positionV>
                <wp:extent cx="1829435" cy="0"/>
                <wp:effectExtent l="0" t="0" r="0" b="0"/>
                <wp:wrapNone/>
                <wp:docPr id="3" name="Line 5" descr="image of straight line separating new text which reads Note that sensitive information only relates to &quot;personal information not health information&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4445">
                          <a:solidFill>
                            <a:srgbClr val="2D2F2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B85F4" id="Line 5" o:spid="_x0000_s1026" alt="image of straight line separating new text which reads Note that sensitive information only relates to &quot;personal information not health information&quot;"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5pt,509.75pt" to="201.7pt,5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" strokecolor="#2d2f2e" strokeweight=".35pt">
                <w10:wrap anchorx="page" anchory="page"/>
              </v:line>
            </w:pict>
          </mc:Fallback>
        </mc:AlternateContent>
      </w:r>
    </w:p>
    <w:p w:rsidR="007573E5" w:rsidRDefault="007573E5" w:rsidP="0071797D">
      <w:pPr>
        <w:pStyle w:val="Heading1"/>
        <w:rPr>
          <w:rFonts w:eastAsia="Arial"/>
        </w:rPr>
      </w:pPr>
      <w:bookmarkStart w:id="11" w:name="_Toc51847430"/>
    </w:p>
    <w:p w:rsidR="0071797D" w:rsidRDefault="0071797D" w:rsidP="0071797D">
      <w:pPr>
        <w:pStyle w:val="Heading1"/>
        <w:rPr>
          <w:rFonts w:eastAsia="Arial"/>
          <w:w w:val="85"/>
        </w:rPr>
      </w:pPr>
      <w:r w:rsidRPr="0071797D">
        <w:rPr>
          <w:rFonts w:eastAsia="Arial"/>
        </w:rPr>
        <w:t>Privacy</w:t>
      </w:r>
      <w:r>
        <w:rPr>
          <w:rFonts w:eastAsia="Arial"/>
          <w:w w:val="85"/>
        </w:rPr>
        <w:t xml:space="preserve"> </w:t>
      </w:r>
      <w:r w:rsidRPr="0071797D">
        <w:rPr>
          <w:rFonts w:eastAsia="Arial"/>
        </w:rPr>
        <w:t>risk</w:t>
      </w:r>
      <w:r>
        <w:rPr>
          <w:rFonts w:eastAsia="Arial"/>
          <w:w w:val="85"/>
        </w:rPr>
        <w:t xml:space="preserve"> </w:t>
      </w:r>
      <w:r w:rsidRPr="0071797D">
        <w:rPr>
          <w:rFonts w:eastAsia="Arial"/>
        </w:rPr>
        <w:t>mitigation</w:t>
      </w:r>
      <w:bookmarkEnd w:id="11"/>
    </w:p>
    <w:tbl>
      <w:tblPr>
        <w:tblStyle w:val="TableGrid"/>
        <w:tblW w:w="0" w:type="auto"/>
        <w:tblLayout w:type="fixed"/>
        <w:tblLook w:val="0020" w:firstRow="1" w:lastRow="0" w:firstColumn="0" w:lastColumn="0" w:noHBand="0" w:noVBand="0"/>
      </w:tblPr>
      <w:tblGrid>
        <w:gridCol w:w="1809"/>
        <w:gridCol w:w="2127"/>
        <w:gridCol w:w="1417"/>
        <w:gridCol w:w="2214"/>
        <w:gridCol w:w="1857"/>
      </w:tblGrid>
      <w:tr w:rsidR="0071797D" w:rsidTr="0071797D">
        <w:trPr>
          <w:trHeight w:hRule="exact" w:val="616"/>
        </w:trPr>
        <w:tc>
          <w:tcPr>
            <w:tcW w:w="1809" w:type="dxa"/>
          </w:tcPr>
          <w:p w:rsidR="0071797D" w:rsidRPr="00B26C1D" w:rsidRDefault="0071797D" w:rsidP="0071797D">
            <w:pPr>
              <w:pStyle w:val="DHHSbody"/>
              <w:rPr>
                <w:b/>
                <w:bCs/>
              </w:rPr>
            </w:pPr>
            <w:r w:rsidRPr="00B26C1D">
              <w:rPr>
                <w:b/>
                <w:bCs/>
              </w:rPr>
              <w:t>Risk</w:t>
            </w:r>
          </w:p>
        </w:tc>
        <w:tc>
          <w:tcPr>
            <w:tcW w:w="2127" w:type="dxa"/>
          </w:tcPr>
          <w:p w:rsidR="0071797D" w:rsidRPr="00B26C1D" w:rsidRDefault="0071797D" w:rsidP="00B26C1D">
            <w:pPr>
              <w:pStyle w:val="DHHSbody"/>
              <w:rPr>
                <w:b/>
                <w:bCs/>
              </w:rPr>
            </w:pPr>
            <w:r w:rsidRPr="00B26C1D">
              <w:rPr>
                <w:b/>
                <w:bCs/>
              </w:rPr>
              <w:t xml:space="preserve">Mitigation </w:t>
            </w:r>
            <w:r w:rsidRPr="00B26C1D">
              <w:rPr>
                <w:b/>
                <w:bCs/>
              </w:rPr>
              <w:br/>
              <w:t>strategy</w:t>
            </w:r>
          </w:p>
        </w:tc>
        <w:tc>
          <w:tcPr>
            <w:tcW w:w="1417" w:type="dxa"/>
          </w:tcPr>
          <w:p w:rsidR="0071797D" w:rsidRPr="00B26C1D" w:rsidRDefault="0071797D" w:rsidP="0071797D">
            <w:pPr>
              <w:pStyle w:val="DHHSbody"/>
              <w:rPr>
                <w:b/>
                <w:bCs/>
              </w:rPr>
            </w:pPr>
            <w:r w:rsidRPr="00B26C1D">
              <w:rPr>
                <w:b/>
                <w:bCs/>
              </w:rPr>
              <w:t>Likelihood</w:t>
            </w:r>
          </w:p>
        </w:tc>
        <w:tc>
          <w:tcPr>
            <w:tcW w:w="2214" w:type="dxa"/>
          </w:tcPr>
          <w:p w:rsidR="0071797D" w:rsidRPr="00B26C1D" w:rsidRDefault="0071797D" w:rsidP="0071797D">
            <w:pPr>
              <w:pStyle w:val="DHHSbody"/>
              <w:rPr>
                <w:b/>
                <w:bCs/>
              </w:rPr>
            </w:pPr>
            <w:r w:rsidRPr="00B26C1D">
              <w:rPr>
                <w:b/>
                <w:bCs/>
              </w:rPr>
              <w:t>Impact</w:t>
            </w:r>
          </w:p>
        </w:tc>
        <w:tc>
          <w:tcPr>
            <w:tcW w:w="1857" w:type="dxa"/>
          </w:tcPr>
          <w:p w:rsidR="0071797D" w:rsidRPr="00B26C1D" w:rsidRDefault="0071797D" w:rsidP="0071797D">
            <w:pPr>
              <w:pStyle w:val="DHHSbody"/>
              <w:rPr>
                <w:b/>
                <w:bCs/>
              </w:rPr>
            </w:pPr>
            <w:r w:rsidRPr="00B26C1D">
              <w:rPr>
                <w:b/>
                <w:bCs/>
              </w:rPr>
              <w:t>Risk rating</w:t>
            </w:r>
          </w:p>
        </w:tc>
      </w:tr>
      <w:tr w:rsidR="0071797D" w:rsidTr="0071797D">
        <w:trPr>
          <w:trHeight w:hRule="exact" w:val="3135"/>
        </w:trPr>
        <w:tc>
          <w:tcPr>
            <w:tcW w:w="1809" w:type="dxa"/>
          </w:tcPr>
          <w:p w:rsidR="0071797D" w:rsidRDefault="0071797D" w:rsidP="0071797D">
            <w:pPr>
              <w:pStyle w:val="DHHSbody"/>
              <w:rPr>
                <w:color w:val="000000"/>
              </w:rPr>
            </w:pPr>
            <w:r>
              <w:rPr>
                <w:color w:val="000000"/>
              </w:rPr>
              <w:t>Protecting personal information from loss / unauthorised access -</w:t>
            </w:r>
          </w:p>
        </w:tc>
        <w:tc>
          <w:tcPr>
            <w:tcW w:w="2127" w:type="dxa"/>
          </w:tcPr>
          <w:p w:rsidR="0071797D" w:rsidRDefault="0071797D" w:rsidP="0071797D">
            <w:pPr>
              <w:pStyle w:val="DHHSbody"/>
              <w:rPr>
                <w:color w:val="000000"/>
              </w:rPr>
            </w:pPr>
            <w:r>
              <w:rPr>
                <w:color w:val="000000"/>
              </w:rPr>
              <w:t>Access to the information for the cloud based solution is controlled by the client and for HiiP is controlled by security in the system, user provisioned controlled access and by auditing of access</w:t>
            </w:r>
          </w:p>
        </w:tc>
        <w:tc>
          <w:tcPr>
            <w:tcW w:w="1417" w:type="dxa"/>
          </w:tcPr>
          <w:p w:rsidR="0071797D" w:rsidRDefault="0071797D" w:rsidP="0071797D">
            <w:pPr>
              <w:pStyle w:val="DHHSbody"/>
              <w:rPr>
                <w:color w:val="000000"/>
              </w:rPr>
            </w:pPr>
            <w:r>
              <w:rPr>
                <w:color w:val="000000"/>
              </w:rPr>
              <w:t>Low</w:t>
            </w:r>
          </w:p>
        </w:tc>
        <w:tc>
          <w:tcPr>
            <w:tcW w:w="2214" w:type="dxa"/>
          </w:tcPr>
          <w:p w:rsidR="0071797D" w:rsidRDefault="0071797D" w:rsidP="0071797D">
            <w:pPr>
              <w:pStyle w:val="DHHSbody"/>
              <w:rPr>
                <w:color w:val="000000"/>
              </w:rPr>
            </w:pPr>
            <w:r>
              <w:rPr>
                <w:color w:val="000000"/>
              </w:rPr>
              <w:t>High</w:t>
            </w:r>
          </w:p>
        </w:tc>
        <w:tc>
          <w:tcPr>
            <w:tcW w:w="1857" w:type="dxa"/>
          </w:tcPr>
          <w:p w:rsidR="0071797D" w:rsidRDefault="0071797D" w:rsidP="0071797D">
            <w:pPr>
              <w:pStyle w:val="DHHSbody"/>
              <w:rPr>
                <w:color w:val="000000"/>
              </w:rPr>
            </w:pPr>
            <w:r>
              <w:rPr>
                <w:color w:val="000000"/>
              </w:rPr>
              <w:t>Low</w:t>
            </w:r>
          </w:p>
        </w:tc>
      </w:tr>
      <w:tr w:rsidR="0071797D" w:rsidTr="007573E5">
        <w:trPr>
          <w:trHeight w:hRule="exact" w:val="2941"/>
        </w:trPr>
        <w:tc>
          <w:tcPr>
            <w:tcW w:w="1809" w:type="dxa"/>
          </w:tcPr>
          <w:p w:rsidR="0071797D" w:rsidRDefault="0071797D" w:rsidP="0071797D">
            <w:pPr>
              <w:pStyle w:val="DHHSbody"/>
              <w:rPr>
                <w:color w:val="000000"/>
              </w:rPr>
            </w:pPr>
            <w:r>
              <w:rPr>
                <w:color w:val="000000"/>
              </w:rPr>
              <w:t>IPP 1.3.</w:t>
            </w:r>
          </w:p>
          <w:p w:rsidR="0071797D" w:rsidRDefault="0071797D" w:rsidP="0071797D">
            <w:pPr>
              <w:pStyle w:val="DHHSbody"/>
              <w:rPr>
                <w:color w:val="000000"/>
              </w:rPr>
            </w:pPr>
            <w:r>
              <w:rPr>
                <w:color w:val="000000"/>
              </w:rPr>
              <w:t>Clients are not aware that their information is being shared with the Residential Tenancies Bond Authority</w:t>
            </w:r>
          </w:p>
        </w:tc>
        <w:tc>
          <w:tcPr>
            <w:tcW w:w="2127" w:type="dxa"/>
          </w:tcPr>
          <w:p w:rsidR="0071797D" w:rsidRDefault="0071797D" w:rsidP="0071797D">
            <w:pPr>
              <w:pStyle w:val="DHHSbody"/>
              <w:rPr>
                <w:color w:val="000000"/>
              </w:rPr>
            </w:pPr>
            <w:r>
              <w:rPr>
                <w:color w:val="000000"/>
              </w:rPr>
              <w:t>The bond loan application explicitly identifies that the bond will be administered by the RTBA and the only information</w:t>
            </w:r>
          </w:p>
          <w:p w:rsidR="0071797D" w:rsidRDefault="0071797D" w:rsidP="0071797D">
            <w:pPr>
              <w:pStyle w:val="DHHSbody"/>
              <w:rPr>
                <w:color w:val="000000"/>
              </w:rPr>
            </w:pPr>
            <w:r>
              <w:rPr>
                <w:color w:val="000000"/>
              </w:rPr>
              <w:t>shared is that provided by the client.</w:t>
            </w:r>
          </w:p>
        </w:tc>
        <w:tc>
          <w:tcPr>
            <w:tcW w:w="1417" w:type="dxa"/>
          </w:tcPr>
          <w:p w:rsidR="0071797D" w:rsidRDefault="0071797D" w:rsidP="0071797D">
            <w:pPr>
              <w:pStyle w:val="DHHSbody"/>
              <w:rPr>
                <w:color w:val="000000"/>
              </w:rPr>
            </w:pPr>
            <w:r>
              <w:rPr>
                <w:color w:val="000000"/>
              </w:rPr>
              <w:t>Low</w:t>
            </w:r>
          </w:p>
        </w:tc>
        <w:tc>
          <w:tcPr>
            <w:tcW w:w="2214" w:type="dxa"/>
          </w:tcPr>
          <w:p w:rsidR="0071797D" w:rsidRDefault="0071797D" w:rsidP="0071797D">
            <w:pPr>
              <w:pStyle w:val="DHHSbody"/>
              <w:rPr>
                <w:color w:val="000000"/>
              </w:rPr>
            </w:pPr>
            <w:r>
              <w:rPr>
                <w:color w:val="000000"/>
              </w:rPr>
              <w:t>Medium</w:t>
            </w:r>
          </w:p>
        </w:tc>
        <w:tc>
          <w:tcPr>
            <w:tcW w:w="1857" w:type="dxa"/>
          </w:tcPr>
          <w:p w:rsidR="0071797D" w:rsidRDefault="0071797D" w:rsidP="0071797D">
            <w:pPr>
              <w:pStyle w:val="DHHSbody"/>
              <w:rPr>
                <w:color w:val="000000"/>
              </w:rPr>
            </w:pPr>
            <w:r>
              <w:rPr>
                <w:color w:val="000000"/>
              </w:rPr>
              <w:t>[Low</w:t>
            </w:r>
          </w:p>
        </w:tc>
      </w:tr>
      <w:tr w:rsidR="0071797D" w:rsidTr="0071797D">
        <w:trPr>
          <w:trHeight w:hRule="exact" w:val="3913"/>
        </w:trPr>
        <w:tc>
          <w:tcPr>
            <w:tcW w:w="1809" w:type="dxa"/>
          </w:tcPr>
          <w:p w:rsidR="0071797D" w:rsidRDefault="0071797D" w:rsidP="0071797D">
            <w:pPr>
              <w:pStyle w:val="DHHSbody"/>
              <w:rPr>
                <w:color w:val="000000"/>
                <w:spacing w:val="1"/>
              </w:rPr>
            </w:pPr>
            <w:r>
              <w:rPr>
                <w:color w:val="000000"/>
                <w:spacing w:val="1"/>
              </w:rPr>
              <w:t>Client information is inappropriate shared through a reporting</w:t>
            </w:r>
          </w:p>
          <w:p w:rsidR="0071797D" w:rsidRDefault="0071797D" w:rsidP="0071797D">
            <w:pPr>
              <w:pStyle w:val="DHHSbody"/>
              <w:rPr>
                <w:color w:val="000000"/>
              </w:rPr>
            </w:pPr>
            <w:r>
              <w:rPr>
                <w:color w:val="000000"/>
              </w:rPr>
              <w:t>solution</w:t>
            </w:r>
          </w:p>
        </w:tc>
        <w:tc>
          <w:tcPr>
            <w:tcW w:w="2127" w:type="dxa"/>
          </w:tcPr>
          <w:p w:rsidR="0071797D" w:rsidRDefault="0071797D" w:rsidP="0071797D">
            <w:pPr>
              <w:pStyle w:val="DHHSbody"/>
              <w:rPr>
                <w:color w:val="000000"/>
              </w:rPr>
            </w:pPr>
            <w:r>
              <w:rPr>
                <w:color w:val="000000"/>
              </w:rPr>
              <w:t>That for the purposes of managing bond loans any access to information is constrained by the same rights a end user has in HiiP to manage that bond application</w:t>
            </w:r>
          </w:p>
          <w:p w:rsidR="0071797D" w:rsidRDefault="0071797D" w:rsidP="0071797D">
            <w:pPr>
              <w:pStyle w:val="DHHSbody"/>
              <w:rPr>
                <w:color w:val="000000"/>
              </w:rPr>
            </w:pPr>
            <w:r>
              <w:rPr>
                <w:color w:val="000000"/>
              </w:rPr>
              <w:t>For any other purposes only de-identified information is available</w:t>
            </w:r>
          </w:p>
        </w:tc>
        <w:tc>
          <w:tcPr>
            <w:tcW w:w="1417" w:type="dxa"/>
          </w:tcPr>
          <w:p w:rsidR="0071797D" w:rsidRDefault="0071797D" w:rsidP="0071797D">
            <w:pPr>
              <w:pStyle w:val="DHHSbody"/>
              <w:rPr>
                <w:color w:val="000000"/>
              </w:rPr>
            </w:pPr>
            <w:r>
              <w:rPr>
                <w:color w:val="000000"/>
              </w:rPr>
              <w:t>Low</w:t>
            </w:r>
          </w:p>
        </w:tc>
        <w:tc>
          <w:tcPr>
            <w:tcW w:w="2214" w:type="dxa"/>
          </w:tcPr>
          <w:p w:rsidR="0071797D" w:rsidRDefault="0071797D" w:rsidP="0071797D">
            <w:pPr>
              <w:pStyle w:val="DHHSbody"/>
              <w:rPr>
                <w:color w:val="000000"/>
              </w:rPr>
            </w:pPr>
            <w:r>
              <w:rPr>
                <w:color w:val="000000"/>
              </w:rPr>
              <w:t>Medium</w:t>
            </w:r>
          </w:p>
        </w:tc>
        <w:tc>
          <w:tcPr>
            <w:tcW w:w="1857" w:type="dxa"/>
          </w:tcPr>
          <w:p w:rsidR="0071797D" w:rsidRDefault="0071797D" w:rsidP="0071797D">
            <w:pPr>
              <w:pStyle w:val="DHHSbody"/>
              <w:rPr>
                <w:color w:val="000000"/>
              </w:rPr>
            </w:pPr>
            <w:r>
              <w:rPr>
                <w:color w:val="000000"/>
              </w:rPr>
              <w:t>Low</w:t>
            </w:r>
          </w:p>
        </w:tc>
      </w:tr>
    </w:tbl>
    <w:p w:rsidR="0071797D" w:rsidRDefault="0071797D" w:rsidP="0071797D">
      <w:pPr>
        <w:spacing w:after="2581" w:line="20" w:lineRule="exact"/>
      </w:pPr>
    </w:p>
    <w:p w:rsidR="0071797D" w:rsidRDefault="0071797D" w:rsidP="0071797D">
      <w:pPr>
        <w:spacing w:before="3" w:after="428" w:line="501" w:lineRule="exact"/>
        <w:textAlignment w:val="baseline"/>
        <w:rPr>
          <w:rFonts w:ascii="Tahoma" w:eastAsia="Tahoma" w:hAnsi="Tahoma"/>
          <w:color w:val="813A74"/>
          <w:spacing w:val="13"/>
          <w:w w:val="105"/>
          <w:sz w:val="40"/>
        </w:rPr>
      </w:pPr>
    </w:p>
    <w:p w:rsidR="00B26C1D" w:rsidRDefault="00B26C1D" w:rsidP="00B26C1D">
      <w:pPr>
        <w:pStyle w:val="Heading1"/>
        <w:rPr>
          <w:rFonts w:eastAsia="Tahoma"/>
          <w:w w:val="105"/>
        </w:rPr>
      </w:pPr>
    </w:p>
    <w:p w:rsidR="0071797D" w:rsidRDefault="0071797D" w:rsidP="008656AA">
      <w:pPr>
        <w:pStyle w:val="Heading1"/>
        <w:rPr>
          <w:rFonts w:eastAsia="Tahoma"/>
          <w:w w:val="105"/>
        </w:rPr>
      </w:pPr>
      <w:bookmarkStart w:id="12" w:name="_Toc51847431"/>
      <w:r w:rsidRPr="008656AA">
        <w:rPr>
          <w:rFonts w:eastAsia="Tahoma"/>
        </w:rPr>
        <w:t>Summary</w:t>
      </w:r>
      <w:r>
        <w:rPr>
          <w:rFonts w:eastAsia="Tahoma"/>
          <w:w w:val="105"/>
        </w:rPr>
        <w:t xml:space="preserve"> </w:t>
      </w:r>
      <w:r w:rsidRPr="008656AA">
        <w:rPr>
          <w:rFonts w:eastAsia="Tahoma"/>
        </w:rPr>
        <w:t>of</w:t>
      </w:r>
      <w:r>
        <w:rPr>
          <w:rFonts w:eastAsia="Tahoma"/>
          <w:w w:val="105"/>
        </w:rPr>
        <w:t xml:space="preserve"> </w:t>
      </w:r>
      <w:r w:rsidRPr="008656AA">
        <w:rPr>
          <w:rFonts w:eastAsia="Tahoma"/>
        </w:rPr>
        <w:t>assessment</w:t>
      </w:r>
      <w:bookmarkEnd w:id="12"/>
    </w:p>
    <w:p w:rsidR="0071797D" w:rsidRDefault="0071797D" w:rsidP="008656AA">
      <w:pPr>
        <w:pStyle w:val="DHHSbody"/>
      </w:pPr>
      <w:r>
        <w:t xml:space="preserve">The Rent Assist Bond online form provides a </w:t>
      </w:r>
      <w:r w:rsidRPr="008656AA">
        <w:t>secure</w:t>
      </w:r>
      <w:r>
        <w:t xml:space="preserve"> electronic platform for clients and support workers to lodge applications for bond loans through the Director of Housing.</w:t>
      </w:r>
    </w:p>
    <w:p w:rsidR="0071797D" w:rsidRDefault="0071797D" w:rsidP="00B26C1D">
      <w:pPr>
        <w:pStyle w:val="DHHSbody"/>
      </w:pPr>
      <w:r>
        <w:t>The online form captures the same information as the paper form and is the minimum required to assess eligibility for a bond loan.</w:t>
      </w:r>
    </w:p>
    <w:p w:rsidR="0071797D" w:rsidRDefault="0071797D" w:rsidP="00B26C1D">
      <w:pPr>
        <w:pStyle w:val="DHHSbody"/>
      </w:pPr>
      <w:r>
        <w:t>The information shared between third parties is for the sole purpose of issuing and lodging, where appropriate, a bond loan via a real estate agent or private landlord with the Residential Tenancies Bond Authority.</w:t>
      </w:r>
    </w:p>
    <w:p w:rsidR="0071797D" w:rsidRDefault="0071797D" w:rsidP="00B26C1D">
      <w:pPr>
        <w:pStyle w:val="DHHSbody"/>
      </w:pPr>
      <w:r>
        <w:t>The privacy impact assessments has established that there are no additional risks to the current arrangements and that the online systems used in lodging the bond application are secure and have the client in control of their information.</w:t>
      </w:r>
    </w:p>
    <w:p w:rsidR="00B26C1D" w:rsidRDefault="00B26C1D" w:rsidP="00B26C1D">
      <w:pPr>
        <w:pStyle w:val="DHHSbody"/>
      </w:pPr>
    </w:p>
    <w:tbl>
      <w:tblPr>
        <w:tblStyle w:val="TableGrid"/>
        <w:tblW w:w="0" w:type="auto"/>
        <w:tblInd w:w="250" w:type="dxa"/>
        <w:tblLook w:val="04A0" w:firstRow="1" w:lastRow="0" w:firstColumn="1" w:lastColumn="0" w:noHBand="0" w:noVBand="1"/>
      </w:tblPr>
      <w:tblGrid>
        <w:gridCol w:w="4290"/>
        <w:gridCol w:w="4479"/>
      </w:tblGrid>
      <w:tr w:rsidR="0071797D" w:rsidTr="00B26C1D">
        <w:trPr>
          <w:trHeight w:val="2346"/>
        </w:trPr>
        <w:tc>
          <w:tcPr>
            <w:tcW w:w="4290" w:type="dxa"/>
          </w:tcPr>
          <w:p w:rsidR="0071797D" w:rsidRDefault="0071797D" w:rsidP="0071797D">
            <w:pPr>
              <w:spacing w:before="116" w:line="270" w:lineRule="exact"/>
              <w:rPr>
                <w:rFonts w:ascii="Arial" w:hAnsi="Arial" w:cs="Arial"/>
              </w:rPr>
            </w:pPr>
            <w:r>
              <w:rPr>
                <w:rFonts w:ascii="Arial" w:hAnsi="Arial" w:cs="Arial"/>
              </w:rPr>
              <w:t>Tony Newman</w:t>
            </w:r>
          </w:p>
          <w:p w:rsidR="0071797D" w:rsidRDefault="0071797D" w:rsidP="0071797D">
            <w:pPr>
              <w:spacing w:before="116" w:line="270" w:lineRule="exact"/>
              <w:rPr>
                <w:rFonts w:ascii="Arial" w:hAnsi="Arial" w:cs="Arial"/>
              </w:rPr>
            </w:pPr>
            <w:r>
              <w:rPr>
                <w:rFonts w:ascii="Arial" w:hAnsi="Arial" w:cs="Arial"/>
              </w:rPr>
              <w:t>Assistant Director, Implementation Support</w:t>
            </w:r>
          </w:p>
          <w:p w:rsidR="0071797D" w:rsidRDefault="0071797D" w:rsidP="0071797D">
            <w:pPr>
              <w:spacing w:before="116" w:line="270" w:lineRule="exact"/>
              <w:rPr>
                <w:rFonts w:ascii="Arial" w:hAnsi="Arial" w:cs="Arial"/>
              </w:rPr>
            </w:pPr>
            <w:r>
              <w:rPr>
                <w:rFonts w:ascii="Arial" w:hAnsi="Arial" w:cs="Arial"/>
              </w:rPr>
              <w:t>Children, Families, Disability and Operations Division</w:t>
            </w:r>
          </w:p>
          <w:p w:rsidR="00B26C1D" w:rsidRDefault="00B26C1D" w:rsidP="0071797D">
            <w:pPr>
              <w:spacing w:before="116" w:line="270" w:lineRule="exact"/>
              <w:rPr>
                <w:rFonts w:ascii="Arial" w:hAnsi="Arial" w:cs="Arial"/>
              </w:rPr>
            </w:pPr>
            <w:r>
              <w:rPr>
                <w:rFonts w:ascii="Arial" w:hAnsi="Arial" w:cs="Arial"/>
              </w:rPr>
              <w:t>Signed by email 14 Jan 2019</w:t>
            </w:r>
          </w:p>
          <w:p w:rsidR="0071797D" w:rsidRPr="00EC1063" w:rsidRDefault="0071797D" w:rsidP="0071797D">
            <w:pPr>
              <w:spacing w:before="116" w:line="270" w:lineRule="exact"/>
              <w:rPr>
                <w:rFonts w:ascii="Arial" w:hAnsi="Arial" w:cs="Arial"/>
              </w:rPr>
            </w:pPr>
          </w:p>
        </w:tc>
        <w:tc>
          <w:tcPr>
            <w:tcW w:w="4479" w:type="dxa"/>
          </w:tcPr>
          <w:p w:rsidR="0071797D" w:rsidRDefault="0071797D" w:rsidP="0071797D">
            <w:pPr>
              <w:spacing w:before="116" w:line="270" w:lineRule="exact"/>
              <w:rPr>
                <w:rFonts w:ascii="Arial" w:hAnsi="Arial" w:cs="Arial"/>
              </w:rPr>
            </w:pPr>
            <w:r>
              <w:rPr>
                <w:rFonts w:ascii="Arial" w:hAnsi="Arial" w:cs="Arial"/>
              </w:rPr>
              <w:t>Ed Byrden</w:t>
            </w:r>
          </w:p>
          <w:p w:rsidR="0071797D" w:rsidRDefault="0071797D" w:rsidP="0071797D">
            <w:pPr>
              <w:spacing w:before="116" w:line="270" w:lineRule="exact"/>
              <w:rPr>
                <w:rFonts w:ascii="Arial" w:hAnsi="Arial" w:cs="Arial"/>
              </w:rPr>
            </w:pPr>
            <w:r>
              <w:rPr>
                <w:rFonts w:ascii="Arial" w:hAnsi="Arial" w:cs="Arial"/>
              </w:rPr>
              <w:t>Assistant Director, Legal Services</w:t>
            </w:r>
          </w:p>
          <w:p w:rsidR="0071797D" w:rsidRDefault="0071797D" w:rsidP="0071797D">
            <w:pPr>
              <w:spacing w:before="116" w:line="270" w:lineRule="exact"/>
              <w:rPr>
                <w:rFonts w:ascii="Arial" w:hAnsi="Arial" w:cs="Arial"/>
              </w:rPr>
            </w:pPr>
            <w:r>
              <w:rPr>
                <w:rFonts w:ascii="Arial" w:hAnsi="Arial" w:cs="Arial"/>
              </w:rPr>
              <w:t>Information Sharing and Privacy Team</w:t>
            </w:r>
          </w:p>
          <w:p w:rsidR="00B26C1D" w:rsidRDefault="00B26C1D" w:rsidP="0071797D">
            <w:pPr>
              <w:spacing w:before="116" w:line="270" w:lineRule="exact"/>
              <w:rPr>
                <w:rFonts w:ascii="Arial" w:hAnsi="Arial" w:cs="Arial"/>
              </w:rPr>
            </w:pPr>
          </w:p>
          <w:p w:rsidR="00B26C1D" w:rsidRPr="00EC1063" w:rsidRDefault="00B26C1D" w:rsidP="0071797D">
            <w:pPr>
              <w:spacing w:before="116" w:line="270" w:lineRule="exact"/>
              <w:rPr>
                <w:rFonts w:ascii="Arial" w:hAnsi="Arial" w:cs="Arial"/>
              </w:rPr>
            </w:pPr>
            <w:r>
              <w:rPr>
                <w:rFonts w:ascii="Arial" w:hAnsi="Arial" w:cs="Arial"/>
              </w:rPr>
              <w:t>Signed by email 29 Jan 2019</w:t>
            </w:r>
          </w:p>
        </w:tc>
      </w:tr>
    </w:tbl>
    <w:p w:rsidR="006D360C" w:rsidRDefault="006D360C" w:rsidP="00B26C1D">
      <w:pPr>
        <w:pStyle w:val="DHHSbody"/>
      </w:pPr>
    </w:p>
    <w:p w:rsidR="00B26C1D" w:rsidRDefault="00B26C1D" w:rsidP="00B26C1D">
      <w:pPr>
        <w:pStyle w:val="DHHSbody"/>
      </w:pPr>
    </w:p>
    <w:p w:rsidR="00B26C1D" w:rsidRDefault="00B26C1D" w:rsidP="00B26C1D">
      <w:pPr>
        <w:pStyle w:val="DHHSbody"/>
      </w:pPr>
    </w:p>
    <w:p w:rsidR="00B26C1D" w:rsidRDefault="00B26C1D" w:rsidP="00B26C1D">
      <w:pPr>
        <w:pStyle w:val="DHHSbody"/>
      </w:pPr>
    </w:p>
    <w:p w:rsidR="00B26C1D" w:rsidRDefault="00B26C1D" w:rsidP="00B26C1D">
      <w:pPr>
        <w:pStyle w:val="DHHSbody"/>
      </w:pPr>
    </w:p>
    <w:p w:rsidR="00B26C1D" w:rsidRDefault="00B26C1D" w:rsidP="00B26C1D">
      <w:pPr>
        <w:pStyle w:val="DHHSbody"/>
      </w:pPr>
    </w:p>
    <w:p w:rsidR="00B26C1D" w:rsidRDefault="00B26C1D" w:rsidP="00B26C1D">
      <w:pPr>
        <w:pStyle w:val="DHHSbody"/>
      </w:pPr>
    </w:p>
    <w:p w:rsidR="00B26C1D" w:rsidRDefault="00B26C1D" w:rsidP="00B26C1D">
      <w:pPr>
        <w:pStyle w:val="DHHSbody"/>
      </w:pPr>
    </w:p>
    <w:p w:rsidR="00B26C1D" w:rsidRDefault="00B26C1D" w:rsidP="00B26C1D">
      <w:pPr>
        <w:pStyle w:val="DHHSbody"/>
      </w:pPr>
    </w:p>
    <w:p w:rsidR="00B26C1D" w:rsidRDefault="00B26C1D" w:rsidP="00B26C1D">
      <w:pPr>
        <w:pStyle w:val="DHHSbody"/>
      </w:pPr>
    </w:p>
    <w:p w:rsidR="00B26C1D" w:rsidRDefault="00B26C1D" w:rsidP="00B26C1D">
      <w:pPr>
        <w:pStyle w:val="DHHSbody"/>
      </w:pPr>
    </w:p>
    <w:p w:rsidR="00B26C1D" w:rsidRDefault="00B26C1D" w:rsidP="00B26C1D">
      <w:pPr>
        <w:pStyle w:val="DHHSbody"/>
      </w:pPr>
    </w:p>
    <w:p w:rsidR="00B26C1D" w:rsidRDefault="00B26C1D" w:rsidP="00B26C1D">
      <w:pPr>
        <w:pStyle w:val="DHHSbody"/>
      </w:pPr>
    </w:p>
    <w:p w:rsidR="00B26C1D" w:rsidRDefault="00B26C1D" w:rsidP="00B26C1D">
      <w:pPr>
        <w:pStyle w:val="DHHSbody"/>
        <w:pBdr>
          <w:top w:val="single" w:sz="4" w:space="1" w:color="auto"/>
          <w:left w:val="single" w:sz="4" w:space="4" w:color="auto"/>
          <w:bottom w:val="single" w:sz="4" w:space="1" w:color="auto"/>
          <w:right w:val="single" w:sz="4" w:space="4" w:color="auto"/>
        </w:pBdr>
      </w:pPr>
      <w:r>
        <w:t xml:space="preserve">To receive this publication in an accessible format email </w:t>
      </w:r>
      <w:hyperlink r:id="rId17" w:history="1">
        <w:r w:rsidRPr="00761987">
          <w:rPr>
            <w:rStyle w:val="Hyperlink"/>
          </w:rPr>
          <w:t>privacy@dhhs.vic.gov.au</w:t>
        </w:r>
      </w:hyperlink>
    </w:p>
    <w:p w:rsidR="00B26C1D" w:rsidRDefault="00B26C1D" w:rsidP="00B26C1D">
      <w:pPr>
        <w:pStyle w:val="DHHSbody"/>
        <w:pBdr>
          <w:top w:val="single" w:sz="4" w:space="1" w:color="auto"/>
          <w:left w:val="single" w:sz="4" w:space="4" w:color="auto"/>
          <w:bottom w:val="single" w:sz="4" w:space="1" w:color="auto"/>
          <w:right w:val="single" w:sz="4" w:space="4" w:color="auto"/>
        </w:pBdr>
      </w:pPr>
      <w:r>
        <w:t>Authorised and published by the Victorian Government, 1 Treasury Place, Melbourne.</w:t>
      </w:r>
    </w:p>
    <w:p w:rsidR="00B26C1D" w:rsidRDefault="00B26C1D" w:rsidP="00B26C1D">
      <w:pPr>
        <w:pStyle w:val="DHHSbody"/>
        <w:pBdr>
          <w:top w:val="single" w:sz="4" w:space="1" w:color="auto"/>
          <w:left w:val="single" w:sz="4" w:space="4" w:color="auto"/>
          <w:bottom w:val="single" w:sz="4" w:space="1" w:color="auto"/>
          <w:right w:val="single" w:sz="4" w:space="4" w:color="auto"/>
        </w:pBdr>
      </w:pPr>
      <w:r>
        <w:lastRenderedPageBreak/>
        <w:t>ISBN 987-1-76069-781-5 (pdf/online/MS word)</w:t>
      </w:r>
    </w:p>
    <w:p w:rsidR="00B26C1D" w:rsidRDefault="00B26C1D" w:rsidP="00B26C1D">
      <w:pPr>
        <w:pStyle w:val="DHHSbody"/>
        <w:pBdr>
          <w:top w:val="single" w:sz="4" w:space="1" w:color="auto"/>
          <w:left w:val="single" w:sz="4" w:space="4" w:color="auto"/>
          <w:bottom w:val="single" w:sz="4" w:space="1" w:color="auto"/>
          <w:right w:val="single" w:sz="4" w:space="4" w:color="auto"/>
        </w:pBdr>
      </w:pPr>
      <w:r>
        <w:rPr>
          <w:rFonts w:cs="Arial"/>
        </w:rPr>
        <w:t>©</w:t>
      </w:r>
      <w:r>
        <w:t xml:space="preserve"> State of Victoria, Department of Health and Human Services August 2017</w:t>
      </w:r>
    </w:p>
    <w:p w:rsidR="00B26C1D" w:rsidRPr="003072C6" w:rsidRDefault="00B26C1D" w:rsidP="00B26C1D">
      <w:pPr>
        <w:pStyle w:val="DHHSbody"/>
        <w:pBdr>
          <w:top w:val="single" w:sz="4" w:space="1" w:color="auto"/>
          <w:left w:val="single" w:sz="4" w:space="4" w:color="auto"/>
          <w:bottom w:val="single" w:sz="4" w:space="1" w:color="auto"/>
          <w:right w:val="single" w:sz="4" w:space="4" w:color="auto"/>
        </w:pBdr>
      </w:pPr>
      <w:r>
        <w:t xml:space="preserve">Available on the </w:t>
      </w:r>
      <w:hyperlink r:id="rId18" w:history="1">
        <w:r w:rsidRPr="00B26C1D">
          <w:rPr>
            <w:rStyle w:val="Hyperlink"/>
          </w:rPr>
          <w:t>housing website</w:t>
        </w:r>
      </w:hyperlink>
      <w:r>
        <w:t xml:space="preserve"> &lt;https://www.housing.vic.gov.au&gt;</w:t>
      </w:r>
    </w:p>
    <w:sectPr w:rsidR="00B26C1D" w:rsidRPr="003072C6">
      <w:pgSz w:w="11909" w:h="16848"/>
      <w:pgMar w:top="0" w:right="1440" w:bottom="32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797D" w:rsidRDefault="0071797D">
      <w:r>
        <w:separator/>
      </w:r>
    </w:p>
  </w:endnote>
  <w:endnote w:type="continuationSeparator" w:id="0">
    <w:p w:rsidR="0071797D" w:rsidRDefault="00717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altName w:val="Segoe UI"/>
    <w:charset w:val="00"/>
    <w:family w:val="auto"/>
    <w:pitch w:val="variable"/>
    <w:sig w:usb0="E1001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97D" w:rsidRDefault="00B26C1D">
    <w:pPr>
      <w:pStyle w:val="Footer"/>
    </w:pPr>
    <w:r>
      <w:rPr>
        <w:rFonts w:eastAsia="Arial"/>
        <w:noProof/>
        <w:color w:val="000000"/>
      </w:rPr>
      <mc:AlternateContent>
        <mc:Choice Requires="wps">
          <w:drawing>
            <wp:anchor distT="0" distB="0" distL="114300" distR="114300" simplePos="0" relativeHeight="251662336" behindDoc="0" locked="0" layoutInCell="0" allowOverlap="1">
              <wp:simplePos x="0" y="0"/>
              <wp:positionH relativeFrom="page">
                <wp:align>center</wp:align>
              </wp:positionH>
              <wp:positionV relativeFrom="page">
                <wp:align>bottom</wp:align>
              </wp:positionV>
              <wp:extent cx="7772400" cy="457200"/>
              <wp:effectExtent l="0" t="0" r="0" b="0"/>
              <wp:wrapNone/>
              <wp:docPr id="5" name="MSIPCM00c14a4aa5c2caa51a18e88f" descr="{&quot;HashCode&quot;:904758361,&quot;Height&quot;:9999999.0,&quot;Width&quot;:9999999.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26C1D" w:rsidRPr="008B2230" w:rsidRDefault="008B2230" w:rsidP="008B2230">
                          <w:pPr>
                            <w:jc w:val="center"/>
                            <w:rPr>
                              <w:rFonts w:ascii="Arial Black" w:hAnsi="Arial Black"/>
                              <w:color w:val="000000"/>
                            </w:rPr>
                          </w:pPr>
                          <w:r w:rsidRPr="008B223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00c14a4aa5c2caa51a18e88f" o:spid="_x0000_s1026" type="#_x0000_t202" alt="{&quot;HashCode&quot;:904758361,&quot;Height&quot;:9999999.0,&quot;Width&quot;:9999999.0,&quot;Placement&quot;:&quot;Footer&quot;,&quot;Index&quot;:&quot;OddAndEven&quot;,&quot;Section&quot;:1,&quot;Top&quot;:0.0,&quot;Left&quot;:0.0}" style="position:absolute;margin-left:0;margin-top:0;width:612pt;height:36pt;z-index:25166233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" o:allowincell="f" filled="f" stroked="f" strokeweight=".5pt">
              <v:textbox inset=",0,,0">
                <w:txbxContent>
                  <w:p w:rsidR="00B26C1D" w:rsidRPr="008B2230" w:rsidRDefault="008B2230" w:rsidP="008B2230">
                    <w:pPr>
                      <w:jc w:val="center"/>
                      <w:rPr>
                        <w:rFonts w:ascii="Arial Black" w:hAnsi="Arial Black"/>
                        <w:color w:val="000000"/>
                      </w:rPr>
                    </w:pPr>
                    <w:r w:rsidRPr="008B2230">
                      <w:rPr>
                        <w:rFonts w:ascii="Arial Black" w:hAnsi="Arial Black"/>
                        <w:color w:val="000000"/>
                      </w:rPr>
                      <w:t>OFFICIAL</w:t>
                    </w:r>
                  </w:p>
                </w:txbxContent>
              </v:textbox>
              <w10:wrap anchorx="page" anchory="page"/>
            </v:shape>
          </w:pict>
        </mc:Fallback>
      </mc:AlternateContent>
    </w:r>
    <w:r w:rsidR="0071797D">
      <w:rPr>
        <w:rFonts w:eastAsia="Arial"/>
        <w:color w:val="000000"/>
      </w:rPr>
      <w:t xml:space="preserve">Privacy </w:t>
    </w:r>
    <w:r w:rsidR="00331399">
      <w:rPr>
        <w:rFonts w:eastAsia="Arial"/>
        <w:color w:val="000000"/>
      </w:rPr>
      <w:t>I</w:t>
    </w:r>
    <w:r w:rsidR="0071797D">
      <w:rPr>
        <w:rFonts w:eastAsia="Arial"/>
        <w:color w:val="000000"/>
      </w:rPr>
      <w:t xml:space="preserve">mpact </w:t>
    </w:r>
    <w:r w:rsidR="00331399">
      <w:rPr>
        <w:rFonts w:eastAsia="Arial"/>
        <w:color w:val="000000"/>
      </w:rPr>
      <w:t>A</w:t>
    </w:r>
    <w:r w:rsidR="0071797D">
      <w:rPr>
        <w:rFonts w:eastAsia="Arial"/>
        <w:color w:val="000000"/>
      </w:rPr>
      <w:t xml:space="preserve">ssessment: RentAssist Bond </w:t>
    </w:r>
    <w:r w:rsidR="00331399">
      <w:rPr>
        <w:rFonts w:eastAsia="Arial"/>
        <w:color w:val="000000"/>
      </w:rPr>
      <w:t>o</w:t>
    </w:r>
    <w:r w:rsidR="0071797D">
      <w:rPr>
        <w:rFonts w:eastAsia="Arial"/>
        <w:color w:val="000000"/>
      </w:rPr>
      <w:t>nline</w:t>
    </w:r>
    <w:r w:rsidR="00331399">
      <w:rPr>
        <w:rFonts w:eastAsia="Arial"/>
        <w:color w:val="000000"/>
      </w:rPr>
      <w:t xml:space="preserve"> form</w:t>
    </w:r>
  </w:p>
  <w:p w:rsidR="0071797D" w:rsidRDefault="00717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97D" w:rsidRDefault="00B26C1D">
    <w:pPr>
      <w:pStyle w:val="Footer"/>
    </w:pPr>
    <w:r>
      <w:rPr>
        <w:rFonts w:eastAsia="Arial"/>
        <w:noProof/>
        <w:color w:val="000000"/>
      </w:rPr>
      <mc:AlternateContent>
        <mc:Choice Requires="wps">
          <w:drawing>
            <wp:anchor distT="0" distB="0" distL="114300" distR="114300" simplePos="0" relativeHeight="251661312" behindDoc="0" locked="0" layoutInCell="0" allowOverlap="1">
              <wp:simplePos x="0" y="0"/>
              <wp:positionH relativeFrom="page">
                <wp:align>center</wp:align>
              </wp:positionH>
              <wp:positionV relativeFrom="page">
                <wp:align>bottom</wp:align>
              </wp:positionV>
              <wp:extent cx="7772400" cy="457200"/>
              <wp:effectExtent l="0" t="0" r="0" b="0"/>
              <wp:wrapNone/>
              <wp:docPr id="4" name="MSIPCMd5214327a14675e09bd962f9"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26C1D" w:rsidRPr="008B2230" w:rsidRDefault="008B2230" w:rsidP="008B2230">
                          <w:pPr>
                            <w:jc w:val="center"/>
                            <w:rPr>
                              <w:rFonts w:ascii="Arial Black" w:hAnsi="Arial Black"/>
                              <w:color w:val="000000"/>
                            </w:rPr>
                          </w:pPr>
                          <w:r w:rsidRPr="008B223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d5214327a14675e09bd962f9" o:spid="_x0000_s1027" type="#_x0000_t202" alt="{&quot;HashCode&quot;:904758361,&quot;Height&quot;:9999999.0,&quot;Width&quot;:9999999.0,&quot;Placement&quot;:&quot;Footer&quot;,&quot;Index&quot;:&quot;Primary&quot;,&quot;Section&quot;:1,&quot;Top&quot;:0.0,&quot;Left&quot;:0.0}" style="position:absolute;margin-left:0;margin-top:0;width:612pt;height:36pt;z-index:25166131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" o:allowincell="f" filled="f" stroked="f" strokeweight=".5pt">
              <v:textbox inset=",0,,0">
                <w:txbxContent>
                  <w:p w:rsidR="00B26C1D" w:rsidRPr="008B2230" w:rsidRDefault="008B2230" w:rsidP="008B2230">
                    <w:pPr>
                      <w:jc w:val="center"/>
                      <w:rPr>
                        <w:rFonts w:ascii="Arial Black" w:hAnsi="Arial Black"/>
                        <w:color w:val="000000"/>
                      </w:rPr>
                    </w:pPr>
                    <w:r w:rsidRPr="008B2230">
                      <w:rPr>
                        <w:rFonts w:ascii="Arial Black" w:hAnsi="Arial Black"/>
                        <w:color w:val="000000"/>
                      </w:rPr>
                      <w:t>OFFICIAL</w:t>
                    </w:r>
                  </w:p>
                </w:txbxContent>
              </v:textbox>
              <w10:wrap anchorx="page" anchory="page"/>
            </v:shape>
          </w:pict>
        </mc:Fallback>
      </mc:AlternateContent>
    </w:r>
    <w:r w:rsidR="0071797D">
      <w:rPr>
        <w:rFonts w:eastAsia="Arial"/>
        <w:color w:val="000000"/>
      </w:rPr>
      <w:t>Privacy impact assessment: RentAssist Bond Loan Online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230" w:rsidRDefault="008B2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797D" w:rsidRDefault="0071797D">
      <w:r>
        <w:separator/>
      </w:r>
    </w:p>
  </w:footnote>
  <w:footnote w:type="continuationSeparator" w:id="0">
    <w:p w:rsidR="0071797D" w:rsidRDefault="00717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230" w:rsidRDefault="008B22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230" w:rsidRDefault="008B22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230" w:rsidRDefault="008B2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34B6E"/>
    <w:multiLevelType w:val="multilevel"/>
    <w:tmpl w:val="E544E3FE"/>
    <w:lvl w:ilvl="0">
      <w:start w:val="1"/>
      <w:numFmt w:val="bullet"/>
      <w:lvlText w:val="·"/>
      <w:lvlJc w:val="left"/>
      <w:pPr>
        <w:tabs>
          <w:tab w:val="left" w:pos="288"/>
        </w:tabs>
      </w:pPr>
      <w:rPr>
        <w:rFonts w:ascii="Symbol" w:eastAsia="Symbol" w:hAnsi="Symbol"/>
        <w:strike w:val="0"/>
        <w:color w:val="000000"/>
        <w:spacing w:val="7"/>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60AF0"/>
    <w:multiLevelType w:val="multilevel"/>
    <w:tmpl w:val="A0A2D43E"/>
    <w:lvl w:ilvl="0">
      <w:start w:val="1"/>
      <w:numFmt w:val="bullet"/>
      <w:lvlText w:val="—"/>
      <w:lvlJc w:val="left"/>
      <w:pPr>
        <w:tabs>
          <w:tab w:val="left" w:pos="216"/>
        </w:tabs>
      </w:pPr>
      <w:rPr>
        <w:rFonts w:ascii="Arial" w:eastAsia="Arial" w:hAnsi="Arial"/>
        <w:strike w:val="0"/>
        <w:color w:val="000000"/>
        <w:spacing w:val="8"/>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D2E30"/>
    <w:multiLevelType w:val="multilevel"/>
    <w:tmpl w:val="E2987502"/>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9F21E86"/>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1ADF0232"/>
    <w:multiLevelType w:val="multilevel"/>
    <w:tmpl w:val="D968F5F8"/>
    <w:lvl w:ilvl="0">
      <w:start w:val="1"/>
      <w:numFmt w:val="lowerLetter"/>
      <w:lvlText w:val="%1."/>
      <w:lvlJc w:val="left"/>
      <w:pPr>
        <w:tabs>
          <w:tab w:val="left" w:pos="288"/>
        </w:tabs>
      </w:pPr>
      <w:rPr>
        <w:rFonts w:ascii="Arial" w:eastAsia="Arial" w:hAnsi="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7D0561"/>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1566153"/>
    <w:multiLevelType w:val="hybridMultilevel"/>
    <w:tmpl w:val="F4B42F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7B96CDA"/>
    <w:multiLevelType w:val="multilevel"/>
    <w:tmpl w:val="CC9E703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6C68D4"/>
    <w:multiLevelType w:val="multilevel"/>
    <w:tmpl w:val="C024C04A"/>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F3828B86"/>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1611C2"/>
    <w:multiLevelType w:val="multilevel"/>
    <w:tmpl w:val="9A2640A4"/>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FD6495E8"/>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8D414ED"/>
    <w:multiLevelType w:val="hybridMultilevel"/>
    <w:tmpl w:val="EAC428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FA21019"/>
    <w:multiLevelType w:val="multilevel"/>
    <w:tmpl w:val="7FFC5234"/>
    <w:lvl w:ilvl="0">
      <w:start w:val="12"/>
      <w:numFmt w:val="decimal"/>
      <w:lvlText w:val="%1."/>
      <w:lvlJc w:val="left"/>
      <w:pPr>
        <w:tabs>
          <w:tab w:val="left" w:pos="288"/>
        </w:tabs>
      </w:pPr>
      <w:rPr>
        <w:rFonts w:ascii="Arial" w:eastAsia="Arial" w:hAnsi="Arial"/>
        <w:b/>
        <w:strike w:val="0"/>
        <w:color w:val="000000"/>
        <w:spacing w:val="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09744A2"/>
    <w:multiLevelType w:val="multilevel"/>
    <w:tmpl w:val="84786078"/>
    <w:lvl w:ilvl="0">
      <w:start w:val="6"/>
      <w:numFmt w:val="decimal"/>
      <w:lvlText w:val="%1."/>
      <w:lvlJc w:val="left"/>
      <w:pPr>
        <w:tabs>
          <w:tab w:val="left" w:pos="216"/>
        </w:tabs>
      </w:pPr>
      <w:rPr>
        <w:rFonts w:ascii="Arial" w:eastAsia="Arial" w:hAnsi="Arial"/>
        <w:b/>
        <w:strike w:val="0"/>
        <w:color w:val="000000"/>
        <w:spacing w:val="7"/>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309259F"/>
    <w:multiLevelType w:val="multilevel"/>
    <w:tmpl w:val="08AAA4FA"/>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6A517A7"/>
    <w:multiLevelType w:val="multilevel"/>
    <w:tmpl w:val="13726CD0"/>
    <w:lvl w:ilvl="0">
      <w:start w:val="1"/>
      <w:numFmt w:val="decimal"/>
      <w:lvlText w:val="%1."/>
      <w:lvlJc w:val="left"/>
      <w:pPr>
        <w:tabs>
          <w:tab w:val="left" w:pos="216"/>
        </w:tabs>
      </w:pPr>
      <w:rPr>
        <w:rFonts w:ascii="Arial" w:eastAsia="Arial" w:hAnsi="Arial"/>
        <w:b/>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A3122DF"/>
    <w:multiLevelType w:val="multilevel"/>
    <w:tmpl w:val="F836D124"/>
    <w:lvl w:ilvl="0">
      <w:start w:val="1"/>
      <w:numFmt w:val="decimal"/>
      <w:lvlText w:val="%1."/>
      <w:lvlJc w:val="left"/>
      <w:pPr>
        <w:tabs>
          <w:tab w:val="left" w:pos="360"/>
        </w:tabs>
      </w:pPr>
      <w:rPr>
        <w:rFonts w:ascii="Arial" w:eastAsia="Arial" w:hAnsi="Arial"/>
        <w:strike w:val="0"/>
        <w:color w:val="000000"/>
        <w:spacing w:val="8"/>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2C109B"/>
    <w:multiLevelType w:val="multilevel"/>
    <w:tmpl w:val="85B02D38"/>
    <w:lvl w:ilvl="0">
      <w:start w:val="9"/>
      <w:numFmt w:val="decimal"/>
      <w:lvlText w:val="%1."/>
      <w:lvlJc w:val="left"/>
      <w:pPr>
        <w:tabs>
          <w:tab w:val="left" w:pos="216"/>
        </w:tabs>
      </w:pPr>
      <w:rPr>
        <w:rFonts w:ascii="Arial" w:eastAsia="Arial" w:hAnsi="Arial"/>
        <w:b/>
        <w:strike w:val="0"/>
        <w:color w:val="000000"/>
        <w:spacing w:val="8"/>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9103EAB"/>
    <w:multiLevelType w:val="hybridMultilevel"/>
    <w:tmpl w:val="B03C8F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num>
  <w:num w:numId="17">
    <w:abstractNumId w:val="8"/>
  </w:num>
  <w:num w:numId="18">
    <w:abstractNumId w:val="8"/>
  </w:num>
  <w:num w:numId="19">
    <w:abstractNumId w:val="7"/>
  </w:num>
  <w:num w:numId="20">
    <w:abstractNumId w:val="2"/>
  </w:num>
  <w:num w:numId="21">
    <w:abstractNumId w:val="8"/>
  </w:num>
  <w:num w:numId="22">
    <w:abstractNumId w:val="2"/>
  </w:num>
  <w:num w:numId="23">
    <w:abstractNumId w:val="9"/>
  </w:num>
  <w:num w:numId="24">
    <w:abstractNumId w:val="9"/>
  </w:num>
  <w:num w:numId="25">
    <w:abstractNumId w:val="15"/>
  </w:num>
  <w:num w:numId="26">
    <w:abstractNumId w:val="15"/>
  </w:num>
  <w:num w:numId="27">
    <w:abstractNumId w:val="10"/>
  </w:num>
  <w:num w:numId="28">
    <w:abstractNumId w:val="10"/>
  </w:num>
  <w:num w:numId="29">
    <w:abstractNumId w:val="11"/>
  </w:num>
  <w:num w:numId="30">
    <w:abstractNumId w:val="8"/>
  </w:num>
  <w:num w:numId="31">
    <w:abstractNumId w:val="2"/>
  </w:num>
  <w:num w:numId="32">
    <w:abstractNumId w:val="15"/>
  </w:num>
  <w:num w:numId="33">
    <w:abstractNumId w:val="9"/>
  </w:num>
  <w:num w:numId="34">
    <w:abstractNumId w:val="10"/>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
  </w:num>
  <w:num w:numId="41">
    <w:abstractNumId w:val="17"/>
  </w:num>
  <w:num w:numId="42">
    <w:abstractNumId w:val="16"/>
  </w:num>
  <w:num w:numId="43">
    <w:abstractNumId w:val="14"/>
  </w:num>
  <w:num w:numId="44">
    <w:abstractNumId w:val="4"/>
  </w:num>
  <w:num w:numId="45">
    <w:abstractNumId w:val="18"/>
  </w:num>
  <w:num w:numId="46">
    <w:abstractNumId w:val="13"/>
  </w:num>
  <w:num w:numId="47">
    <w:abstractNumId w:val="19"/>
  </w:num>
  <w:num w:numId="48">
    <w:abstractNumId w:val="12"/>
  </w:num>
  <w:num w:numId="4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97D"/>
    <w:rsid w:val="00002990"/>
    <w:rsid w:val="000048AC"/>
    <w:rsid w:val="00014FC4"/>
    <w:rsid w:val="00020AAB"/>
    <w:rsid w:val="000223A4"/>
    <w:rsid w:val="00022E60"/>
    <w:rsid w:val="00026C17"/>
    <w:rsid w:val="00026C19"/>
    <w:rsid w:val="00031263"/>
    <w:rsid w:val="0005587D"/>
    <w:rsid w:val="00060E93"/>
    <w:rsid w:val="00064936"/>
    <w:rsid w:val="000734F8"/>
    <w:rsid w:val="000736B8"/>
    <w:rsid w:val="000817CB"/>
    <w:rsid w:val="000873EF"/>
    <w:rsid w:val="000A1282"/>
    <w:rsid w:val="000B3792"/>
    <w:rsid w:val="000C3632"/>
    <w:rsid w:val="000C6242"/>
    <w:rsid w:val="000C68DB"/>
    <w:rsid w:val="000D2C32"/>
    <w:rsid w:val="000D7D90"/>
    <w:rsid w:val="000E6F72"/>
    <w:rsid w:val="000F0478"/>
    <w:rsid w:val="000F0A50"/>
    <w:rsid w:val="00103D5E"/>
    <w:rsid w:val="00104EA7"/>
    <w:rsid w:val="00105FAD"/>
    <w:rsid w:val="0011155B"/>
    <w:rsid w:val="00111A6A"/>
    <w:rsid w:val="00121BF1"/>
    <w:rsid w:val="00127A8B"/>
    <w:rsid w:val="00134BE5"/>
    <w:rsid w:val="001412D1"/>
    <w:rsid w:val="001423E3"/>
    <w:rsid w:val="001475EA"/>
    <w:rsid w:val="001504F5"/>
    <w:rsid w:val="001517BD"/>
    <w:rsid w:val="0017248D"/>
    <w:rsid w:val="00173626"/>
    <w:rsid w:val="0017614A"/>
    <w:rsid w:val="0018177B"/>
    <w:rsid w:val="001817CD"/>
    <w:rsid w:val="0018235E"/>
    <w:rsid w:val="001834B7"/>
    <w:rsid w:val="0018768C"/>
    <w:rsid w:val="00192BA0"/>
    <w:rsid w:val="00197303"/>
    <w:rsid w:val="001A17EA"/>
    <w:rsid w:val="001A1D17"/>
    <w:rsid w:val="001A22AA"/>
    <w:rsid w:val="001A7A18"/>
    <w:rsid w:val="001B1565"/>
    <w:rsid w:val="001B166D"/>
    <w:rsid w:val="001B28B5"/>
    <w:rsid w:val="001B2975"/>
    <w:rsid w:val="001C08A9"/>
    <w:rsid w:val="001C122D"/>
    <w:rsid w:val="001D1DD0"/>
    <w:rsid w:val="001D2A82"/>
    <w:rsid w:val="001D569B"/>
    <w:rsid w:val="001E0EA3"/>
    <w:rsid w:val="001E3F3D"/>
    <w:rsid w:val="001E4995"/>
    <w:rsid w:val="001E7A42"/>
    <w:rsid w:val="001F09DC"/>
    <w:rsid w:val="001F43E6"/>
    <w:rsid w:val="00213772"/>
    <w:rsid w:val="00215D68"/>
    <w:rsid w:val="00220749"/>
    <w:rsid w:val="0022422C"/>
    <w:rsid w:val="0022724E"/>
    <w:rsid w:val="00230666"/>
    <w:rsid w:val="00231153"/>
    <w:rsid w:val="0023252E"/>
    <w:rsid w:val="00241C31"/>
    <w:rsid w:val="00256E7C"/>
    <w:rsid w:val="002679D5"/>
    <w:rsid w:val="002714FD"/>
    <w:rsid w:val="00274BD3"/>
    <w:rsid w:val="00275F94"/>
    <w:rsid w:val="00277D12"/>
    <w:rsid w:val="00281B9C"/>
    <w:rsid w:val="00284C9B"/>
    <w:rsid w:val="002A141B"/>
    <w:rsid w:val="002A26B6"/>
    <w:rsid w:val="002A6A4E"/>
    <w:rsid w:val="002B5A85"/>
    <w:rsid w:val="002B5BBE"/>
    <w:rsid w:val="002B63A7"/>
    <w:rsid w:val="002C5543"/>
    <w:rsid w:val="002D0F7F"/>
    <w:rsid w:val="002E0198"/>
    <w:rsid w:val="002E1D7C"/>
    <w:rsid w:val="002F449B"/>
    <w:rsid w:val="002F4D86"/>
    <w:rsid w:val="002F5D69"/>
    <w:rsid w:val="002F7C77"/>
    <w:rsid w:val="00300CB3"/>
    <w:rsid w:val="0030394B"/>
    <w:rsid w:val="003072C6"/>
    <w:rsid w:val="00310D8E"/>
    <w:rsid w:val="00315BBD"/>
    <w:rsid w:val="0031753A"/>
    <w:rsid w:val="00320293"/>
    <w:rsid w:val="00322CC2"/>
    <w:rsid w:val="003271DC"/>
    <w:rsid w:val="00331399"/>
    <w:rsid w:val="00332FA0"/>
    <w:rsid w:val="00334B54"/>
    <w:rsid w:val="0033739E"/>
    <w:rsid w:val="00343733"/>
    <w:rsid w:val="00355886"/>
    <w:rsid w:val="00356814"/>
    <w:rsid w:val="003741AD"/>
    <w:rsid w:val="0038019F"/>
    <w:rsid w:val="00382071"/>
    <w:rsid w:val="003A2F25"/>
    <w:rsid w:val="003B2807"/>
    <w:rsid w:val="003C1A21"/>
    <w:rsid w:val="003C68F2"/>
    <w:rsid w:val="003D58B8"/>
    <w:rsid w:val="003D5CFB"/>
    <w:rsid w:val="003E2636"/>
    <w:rsid w:val="003E2E12"/>
    <w:rsid w:val="003F39CE"/>
    <w:rsid w:val="00401108"/>
    <w:rsid w:val="00402927"/>
    <w:rsid w:val="00407993"/>
    <w:rsid w:val="00410AFD"/>
    <w:rsid w:val="00411833"/>
    <w:rsid w:val="00412F64"/>
    <w:rsid w:val="00417BEB"/>
    <w:rsid w:val="00417CC6"/>
    <w:rsid w:val="004324FF"/>
    <w:rsid w:val="00432A55"/>
    <w:rsid w:val="004372B7"/>
    <w:rsid w:val="0044260A"/>
    <w:rsid w:val="00444D82"/>
    <w:rsid w:val="004564C6"/>
    <w:rsid w:val="004610CC"/>
    <w:rsid w:val="00465464"/>
    <w:rsid w:val="00465E87"/>
    <w:rsid w:val="004758A7"/>
    <w:rsid w:val="0047786A"/>
    <w:rsid w:val="00477A65"/>
    <w:rsid w:val="00482DB3"/>
    <w:rsid w:val="004A0236"/>
    <w:rsid w:val="004A369A"/>
    <w:rsid w:val="004A3B3E"/>
    <w:rsid w:val="004C5777"/>
    <w:rsid w:val="004D0173"/>
    <w:rsid w:val="004D1056"/>
    <w:rsid w:val="004D2B7B"/>
    <w:rsid w:val="004D3577"/>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2B8F"/>
    <w:rsid w:val="0050779D"/>
    <w:rsid w:val="005139EA"/>
    <w:rsid w:val="00520BBB"/>
    <w:rsid w:val="00523997"/>
    <w:rsid w:val="00524310"/>
    <w:rsid w:val="00525456"/>
    <w:rsid w:val="00530452"/>
    <w:rsid w:val="00532236"/>
    <w:rsid w:val="005338EA"/>
    <w:rsid w:val="00541DFE"/>
    <w:rsid w:val="00543E6C"/>
    <w:rsid w:val="00544184"/>
    <w:rsid w:val="00551789"/>
    <w:rsid w:val="00553F68"/>
    <w:rsid w:val="005552FD"/>
    <w:rsid w:val="005600E5"/>
    <w:rsid w:val="00564E8F"/>
    <w:rsid w:val="005728A4"/>
    <w:rsid w:val="005763FC"/>
    <w:rsid w:val="00576EB4"/>
    <w:rsid w:val="00577B30"/>
    <w:rsid w:val="00582768"/>
    <w:rsid w:val="00583461"/>
    <w:rsid w:val="005856A4"/>
    <w:rsid w:val="00590730"/>
    <w:rsid w:val="005A3051"/>
    <w:rsid w:val="005A53FE"/>
    <w:rsid w:val="005A68EA"/>
    <w:rsid w:val="005B7D22"/>
    <w:rsid w:val="005C029E"/>
    <w:rsid w:val="005C4675"/>
    <w:rsid w:val="005E085D"/>
    <w:rsid w:val="005E3FA7"/>
    <w:rsid w:val="005E7963"/>
    <w:rsid w:val="005F218C"/>
    <w:rsid w:val="005F4523"/>
    <w:rsid w:val="00601D4D"/>
    <w:rsid w:val="006021B4"/>
    <w:rsid w:val="00605B5B"/>
    <w:rsid w:val="006062D8"/>
    <w:rsid w:val="00606827"/>
    <w:rsid w:val="00606C23"/>
    <w:rsid w:val="00620262"/>
    <w:rsid w:val="00621B4C"/>
    <w:rsid w:val="00627C52"/>
    <w:rsid w:val="00630937"/>
    <w:rsid w:val="00653B84"/>
    <w:rsid w:val="00653E0D"/>
    <w:rsid w:val="006865C8"/>
    <w:rsid w:val="00686B48"/>
    <w:rsid w:val="00687038"/>
    <w:rsid w:val="0068714E"/>
    <w:rsid w:val="006872F5"/>
    <w:rsid w:val="006929F7"/>
    <w:rsid w:val="0069374A"/>
    <w:rsid w:val="00694AB8"/>
    <w:rsid w:val="00695EF7"/>
    <w:rsid w:val="0069699D"/>
    <w:rsid w:val="006A18B6"/>
    <w:rsid w:val="006B2C51"/>
    <w:rsid w:val="006B6361"/>
    <w:rsid w:val="006D24CE"/>
    <w:rsid w:val="006D360C"/>
    <w:rsid w:val="006D5259"/>
    <w:rsid w:val="006D5AC9"/>
    <w:rsid w:val="006D66ED"/>
    <w:rsid w:val="006E786B"/>
    <w:rsid w:val="006F3E0E"/>
    <w:rsid w:val="007002B1"/>
    <w:rsid w:val="00704EB7"/>
    <w:rsid w:val="00705742"/>
    <w:rsid w:val="007104FE"/>
    <w:rsid w:val="00711B0C"/>
    <w:rsid w:val="007121A2"/>
    <w:rsid w:val="00713981"/>
    <w:rsid w:val="007176D6"/>
    <w:rsid w:val="0071797D"/>
    <w:rsid w:val="00727D54"/>
    <w:rsid w:val="00731EF2"/>
    <w:rsid w:val="007344C5"/>
    <w:rsid w:val="00734959"/>
    <w:rsid w:val="00735137"/>
    <w:rsid w:val="0073520D"/>
    <w:rsid w:val="00741F36"/>
    <w:rsid w:val="00742D07"/>
    <w:rsid w:val="007573E5"/>
    <w:rsid w:val="00780226"/>
    <w:rsid w:val="00781AB4"/>
    <w:rsid w:val="007923B7"/>
    <w:rsid w:val="00792616"/>
    <w:rsid w:val="007926BB"/>
    <w:rsid w:val="0079344C"/>
    <w:rsid w:val="007968AE"/>
    <w:rsid w:val="007A0283"/>
    <w:rsid w:val="007C02C7"/>
    <w:rsid w:val="007C21EE"/>
    <w:rsid w:val="007D3A2E"/>
    <w:rsid w:val="007D6652"/>
    <w:rsid w:val="007E343D"/>
    <w:rsid w:val="007F4383"/>
    <w:rsid w:val="007F5858"/>
    <w:rsid w:val="007F6862"/>
    <w:rsid w:val="00801601"/>
    <w:rsid w:val="0080169A"/>
    <w:rsid w:val="008036A7"/>
    <w:rsid w:val="00810991"/>
    <w:rsid w:val="00814A9B"/>
    <w:rsid w:val="00814F66"/>
    <w:rsid w:val="00817C9E"/>
    <w:rsid w:val="008205AF"/>
    <w:rsid w:val="008225E5"/>
    <w:rsid w:val="00831053"/>
    <w:rsid w:val="008314D2"/>
    <w:rsid w:val="0083254D"/>
    <w:rsid w:val="00836249"/>
    <w:rsid w:val="00836F00"/>
    <w:rsid w:val="00846192"/>
    <w:rsid w:val="00846753"/>
    <w:rsid w:val="00850806"/>
    <w:rsid w:val="00856A1B"/>
    <w:rsid w:val="008621C3"/>
    <w:rsid w:val="00865486"/>
    <w:rsid w:val="008656AA"/>
    <w:rsid w:val="008669BE"/>
    <w:rsid w:val="00876275"/>
    <w:rsid w:val="00882B99"/>
    <w:rsid w:val="00886121"/>
    <w:rsid w:val="008A295B"/>
    <w:rsid w:val="008A5B97"/>
    <w:rsid w:val="008A6604"/>
    <w:rsid w:val="008B1C73"/>
    <w:rsid w:val="008B2230"/>
    <w:rsid w:val="008B5482"/>
    <w:rsid w:val="008C11F4"/>
    <w:rsid w:val="008C2BEC"/>
    <w:rsid w:val="008C6523"/>
    <w:rsid w:val="008C6D0E"/>
    <w:rsid w:val="008D09D2"/>
    <w:rsid w:val="008D39C5"/>
    <w:rsid w:val="008E1D89"/>
    <w:rsid w:val="008E3E3E"/>
    <w:rsid w:val="008F5F87"/>
    <w:rsid w:val="00900A34"/>
    <w:rsid w:val="00906132"/>
    <w:rsid w:val="00907073"/>
    <w:rsid w:val="00912C19"/>
    <w:rsid w:val="009208F5"/>
    <w:rsid w:val="00927D51"/>
    <w:rsid w:val="00932272"/>
    <w:rsid w:val="00932862"/>
    <w:rsid w:val="00935D60"/>
    <w:rsid w:val="009447BB"/>
    <w:rsid w:val="00944C48"/>
    <w:rsid w:val="00946335"/>
    <w:rsid w:val="009513C4"/>
    <w:rsid w:val="00955E55"/>
    <w:rsid w:val="00962200"/>
    <w:rsid w:val="00966F54"/>
    <w:rsid w:val="00975E61"/>
    <w:rsid w:val="00976E31"/>
    <w:rsid w:val="00977C63"/>
    <w:rsid w:val="00980087"/>
    <w:rsid w:val="00980C0B"/>
    <w:rsid w:val="009850FF"/>
    <w:rsid w:val="0098524F"/>
    <w:rsid w:val="00985596"/>
    <w:rsid w:val="00987ABE"/>
    <w:rsid w:val="009906C7"/>
    <w:rsid w:val="00992C30"/>
    <w:rsid w:val="009963CD"/>
    <w:rsid w:val="009A632B"/>
    <w:rsid w:val="009B266D"/>
    <w:rsid w:val="009B2DB0"/>
    <w:rsid w:val="009B5CBF"/>
    <w:rsid w:val="009C184A"/>
    <w:rsid w:val="009C2CA5"/>
    <w:rsid w:val="009D3E45"/>
    <w:rsid w:val="009D4AA8"/>
    <w:rsid w:val="009E4235"/>
    <w:rsid w:val="009F351F"/>
    <w:rsid w:val="009F3F89"/>
    <w:rsid w:val="009F480E"/>
    <w:rsid w:val="009F5EF2"/>
    <w:rsid w:val="00A022A2"/>
    <w:rsid w:val="00A02D15"/>
    <w:rsid w:val="00A11403"/>
    <w:rsid w:val="00A26B0D"/>
    <w:rsid w:val="00A3735A"/>
    <w:rsid w:val="00A42F1B"/>
    <w:rsid w:val="00A44EBE"/>
    <w:rsid w:val="00A546BC"/>
    <w:rsid w:val="00A55989"/>
    <w:rsid w:val="00A5694A"/>
    <w:rsid w:val="00A63DA4"/>
    <w:rsid w:val="00A73A66"/>
    <w:rsid w:val="00A75CD5"/>
    <w:rsid w:val="00A763D5"/>
    <w:rsid w:val="00A83DF3"/>
    <w:rsid w:val="00A85915"/>
    <w:rsid w:val="00A86270"/>
    <w:rsid w:val="00A94D93"/>
    <w:rsid w:val="00A952AB"/>
    <w:rsid w:val="00A9783D"/>
    <w:rsid w:val="00AA45E6"/>
    <w:rsid w:val="00AA5A37"/>
    <w:rsid w:val="00AB489C"/>
    <w:rsid w:val="00AB50C1"/>
    <w:rsid w:val="00AB6936"/>
    <w:rsid w:val="00AC0C3B"/>
    <w:rsid w:val="00AC2D63"/>
    <w:rsid w:val="00AD03D8"/>
    <w:rsid w:val="00AD0711"/>
    <w:rsid w:val="00AD704E"/>
    <w:rsid w:val="00AE5FE0"/>
    <w:rsid w:val="00AE60B7"/>
    <w:rsid w:val="00AF2AB7"/>
    <w:rsid w:val="00AF2B1C"/>
    <w:rsid w:val="00AF4D3F"/>
    <w:rsid w:val="00B0300B"/>
    <w:rsid w:val="00B05457"/>
    <w:rsid w:val="00B057F5"/>
    <w:rsid w:val="00B126CB"/>
    <w:rsid w:val="00B128A0"/>
    <w:rsid w:val="00B20240"/>
    <w:rsid w:val="00B23281"/>
    <w:rsid w:val="00B26C1D"/>
    <w:rsid w:val="00B27571"/>
    <w:rsid w:val="00B4164B"/>
    <w:rsid w:val="00B47686"/>
    <w:rsid w:val="00B5409A"/>
    <w:rsid w:val="00B55574"/>
    <w:rsid w:val="00B643EF"/>
    <w:rsid w:val="00B6525D"/>
    <w:rsid w:val="00B65ABA"/>
    <w:rsid w:val="00B67097"/>
    <w:rsid w:val="00B6790F"/>
    <w:rsid w:val="00B7021C"/>
    <w:rsid w:val="00B71B3B"/>
    <w:rsid w:val="00B853DB"/>
    <w:rsid w:val="00B87D61"/>
    <w:rsid w:val="00B93948"/>
    <w:rsid w:val="00BA4BC7"/>
    <w:rsid w:val="00BA55B7"/>
    <w:rsid w:val="00BA5E47"/>
    <w:rsid w:val="00BA7D57"/>
    <w:rsid w:val="00BB156E"/>
    <w:rsid w:val="00BB3330"/>
    <w:rsid w:val="00BB47D7"/>
    <w:rsid w:val="00BB4A62"/>
    <w:rsid w:val="00BC01C1"/>
    <w:rsid w:val="00BC45A1"/>
    <w:rsid w:val="00BC5A34"/>
    <w:rsid w:val="00BD17F5"/>
    <w:rsid w:val="00BD6E05"/>
    <w:rsid w:val="00BE54D0"/>
    <w:rsid w:val="00BF6B6C"/>
    <w:rsid w:val="00BF7251"/>
    <w:rsid w:val="00BF7F28"/>
    <w:rsid w:val="00C01909"/>
    <w:rsid w:val="00C03CBF"/>
    <w:rsid w:val="00C05787"/>
    <w:rsid w:val="00C11871"/>
    <w:rsid w:val="00C13059"/>
    <w:rsid w:val="00C156D4"/>
    <w:rsid w:val="00C167A3"/>
    <w:rsid w:val="00C2181C"/>
    <w:rsid w:val="00C2319C"/>
    <w:rsid w:val="00C2657D"/>
    <w:rsid w:val="00C26A87"/>
    <w:rsid w:val="00C3745D"/>
    <w:rsid w:val="00C416E1"/>
    <w:rsid w:val="00C47BF8"/>
    <w:rsid w:val="00C51B1C"/>
    <w:rsid w:val="00C53DCE"/>
    <w:rsid w:val="00C655F2"/>
    <w:rsid w:val="00C65B4C"/>
    <w:rsid w:val="00C65B61"/>
    <w:rsid w:val="00C70E53"/>
    <w:rsid w:val="00C72979"/>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B4FC7"/>
    <w:rsid w:val="00CC139A"/>
    <w:rsid w:val="00CC1E7A"/>
    <w:rsid w:val="00CC4F64"/>
    <w:rsid w:val="00CD058C"/>
    <w:rsid w:val="00CD3B98"/>
    <w:rsid w:val="00CD4216"/>
    <w:rsid w:val="00CD518C"/>
    <w:rsid w:val="00CD733F"/>
    <w:rsid w:val="00CD7C65"/>
    <w:rsid w:val="00CE0942"/>
    <w:rsid w:val="00CE7CA5"/>
    <w:rsid w:val="00CF1D81"/>
    <w:rsid w:val="00CF2DC9"/>
    <w:rsid w:val="00CF7CB6"/>
    <w:rsid w:val="00D311AB"/>
    <w:rsid w:val="00D32290"/>
    <w:rsid w:val="00D325A8"/>
    <w:rsid w:val="00D442AD"/>
    <w:rsid w:val="00D5618A"/>
    <w:rsid w:val="00D5784B"/>
    <w:rsid w:val="00D63EFB"/>
    <w:rsid w:val="00D658AF"/>
    <w:rsid w:val="00D70A79"/>
    <w:rsid w:val="00D83DE9"/>
    <w:rsid w:val="00D8450D"/>
    <w:rsid w:val="00D95AF9"/>
    <w:rsid w:val="00DA09C9"/>
    <w:rsid w:val="00DA1822"/>
    <w:rsid w:val="00DB5E1F"/>
    <w:rsid w:val="00DC19D8"/>
    <w:rsid w:val="00DC2613"/>
    <w:rsid w:val="00DC4512"/>
    <w:rsid w:val="00DD3691"/>
    <w:rsid w:val="00DD4B55"/>
    <w:rsid w:val="00DE1E90"/>
    <w:rsid w:val="00DE24E6"/>
    <w:rsid w:val="00DE5C8A"/>
    <w:rsid w:val="00DE7B07"/>
    <w:rsid w:val="00DF07AD"/>
    <w:rsid w:val="00DF3364"/>
    <w:rsid w:val="00E0374E"/>
    <w:rsid w:val="00E055BB"/>
    <w:rsid w:val="00E11988"/>
    <w:rsid w:val="00E15DA9"/>
    <w:rsid w:val="00E2095D"/>
    <w:rsid w:val="00E30414"/>
    <w:rsid w:val="00E40769"/>
    <w:rsid w:val="00E42E8B"/>
    <w:rsid w:val="00E60F12"/>
    <w:rsid w:val="00E645ED"/>
    <w:rsid w:val="00E652FB"/>
    <w:rsid w:val="00E66C20"/>
    <w:rsid w:val="00E71C46"/>
    <w:rsid w:val="00E731B7"/>
    <w:rsid w:val="00E75ED2"/>
    <w:rsid w:val="00E8280C"/>
    <w:rsid w:val="00E83E4C"/>
    <w:rsid w:val="00E91933"/>
    <w:rsid w:val="00E92A81"/>
    <w:rsid w:val="00E969B1"/>
    <w:rsid w:val="00EA44EB"/>
    <w:rsid w:val="00EB6552"/>
    <w:rsid w:val="00EC18E6"/>
    <w:rsid w:val="00EC1984"/>
    <w:rsid w:val="00EC234C"/>
    <w:rsid w:val="00ED3529"/>
    <w:rsid w:val="00ED4D17"/>
    <w:rsid w:val="00EE3633"/>
    <w:rsid w:val="00EE6CD3"/>
    <w:rsid w:val="00EF20D7"/>
    <w:rsid w:val="00EF3419"/>
    <w:rsid w:val="00F0119C"/>
    <w:rsid w:val="00F01C3D"/>
    <w:rsid w:val="00F024FD"/>
    <w:rsid w:val="00F02BDB"/>
    <w:rsid w:val="00F0441B"/>
    <w:rsid w:val="00F07623"/>
    <w:rsid w:val="00F07D0B"/>
    <w:rsid w:val="00F2073E"/>
    <w:rsid w:val="00F3136B"/>
    <w:rsid w:val="00F314F1"/>
    <w:rsid w:val="00F327EA"/>
    <w:rsid w:val="00F33641"/>
    <w:rsid w:val="00F42842"/>
    <w:rsid w:val="00F43EE0"/>
    <w:rsid w:val="00F46E40"/>
    <w:rsid w:val="00F4760A"/>
    <w:rsid w:val="00F529FE"/>
    <w:rsid w:val="00F52B8E"/>
    <w:rsid w:val="00F53CFD"/>
    <w:rsid w:val="00F54AF5"/>
    <w:rsid w:val="00F557E3"/>
    <w:rsid w:val="00F61E78"/>
    <w:rsid w:val="00F635C5"/>
    <w:rsid w:val="00F736E3"/>
    <w:rsid w:val="00F762A0"/>
    <w:rsid w:val="00F767E8"/>
    <w:rsid w:val="00F86A3F"/>
    <w:rsid w:val="00F91297"/>
    <w:rsid w:val="00F9133B"/>
    <w:rsid w:val="00F97730"/>
    <w:rsid w:val="00FB32A4"/>
    <w:rsid w:val="00FB594D"/>
    <w:rsid w:val="00FC49BB"/>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4FBFD39B-9CE8-4A23-AEF0-D76F3E3A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850FF"/>
    <w:rPr>
      <w:rFonts w:ascii="Cambria" w:hAnsi="Cambria"/>
      <w:lang w:eastAsia="en-US"/>
    </w:rPr>
  </w:style>
  <w:style w:type="paragraph" w:styleId="Heading1">
    <w:name w:val="heading 1"/>
    <w:next w:val="DHHSbody"/>
    <w:link w:val="Heading1Char"/>
    <w:uiPriority w:val="1"/>
    <w:qFormat/>
    <w:rsid w:val="00F762A0"/>
    <w:pPr>
      <w:keepNext/>
      <w:keepLines/>
      <w:spacing w:before="520" w:after="440" w:line="440" w:lineRule="atLeast"/>
      <w:outlineLvl w:val="0"/>
    </w:pPr>
    <w:rPr>
      <w:rFonts w:ascii="Arial" w:hAnsi="Arial"/>
      <w:bCs/>
      <w:color w:val="87189D"/>
      <w:sz w:val="44"/>
      <w:szCs w:val="44"/>
      <w:lang w:eastAsia="en-US"/>
    </w:rPr>
  </w:style>
  <w:style w:type="paragraph" w:styleId="Heading2">
    <w:name w:val="heading 2"/>
    <w:next w:val="DHHSbody"/>
    <w:link w:val="Heading2Char"/>
    <w:uiPriority w:val="1"/>
    <w:qFormat/>
    <w:rsid w:val="00F762A0"/>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F762A0"/>
    <w:pPr>
      <w:keepNext/>
      <w:keepLines/>
      <w:spacing w:before="240" w:after="120" w:line="240" w:lineRule="atLeast"/>
      <w:outlineLvl w:val="3"/>
    </w:pPr>
    <w:rPr>
      <w:rFonts w:ascii="Arial" w:eastAsia="MS Mincho" w:hAnsi="Arial"/>
      <w:b/>
      <w:bCs/>
      <w:color w:val="87189D"/>
      <w:lang w:eastAsia="en-US"/>
    </w:rPr>
  </w:style>
  <w:style w:type="paragraph" w:styleId="Heading5">
    <w:name w:val="heading 5"/>
    <w:next w:val="DHHSbody"/>
    <w:link w:val="Heading5Char"/>
    <w:uiPriority w:val="9"/>
    <w:qFormat/>
    <w:rsid w:val="00EE3633"/>
    <w:pPr>
      <w:keepNext/>
      <w:keepLines/>
      <w:suppressAutoHyphens/>
      <w:spacing w:before="240" w:after="120" w:line="240" w:lineRule="atLeast"/>
      <w:outlineLvl w:val="4"/>
    </w:pPr>
    <w:rPr>
      <w:rFonts w:ascii="Arial" w:eastAsia="MS Mincho"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F762A0"/>
    <w:rPr>
      <w:rFonts w:ascii="Arial" w:hAnsi="Arial"/>
      <w:bCs/>
      <w:color w:val="87189D"/>
      <w:sz w:val="44"/>
      <w:szCs w:val="44"/>
      <w:lang w:eastAsia="en-US"/>
    </w:rPr>
  </w:style>
  <w:style w:type="character" w:customStyle="1" w:styleId="Heading2Char">
    <w:name w:val="Heading 2 Char"/>
    <w:link w:val="Heading2"/>
    <w:uiPriority w:val="1"/>
    <w:rsid w:val="00F762A0"/>
    <w:rPr>
      <w:rFonts w:ascii="Arial" w:hAnsi="Arial"/>
      <w:b/>
      <w:color w:val="87189D"/>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F762A0"/>
    <w:rPr>
      <w:rFonts w:ascii="Arial" w:eastAsia="MS Mincho" w:hAnsi="Arial"/>
      <w:b/>
      <w:bCs/>
      <w:color w:val="87189D"/>
      <w:lang w:eastAsia="en-US"/>
    </w:rPr>
  </w:style>
  <w:style w:type="paragraph" w:styleId="Header">
    <w:name w:val="header"/>
    <w:basedOn w:val="DHHSheader"/>
    <w:uiPriority w:val="98"/>
    <w:rsid w:val="004E380D"/>
  </w:style>
  <w:style w:type="paragraph" w:styleId="Footer">
    <w:name w:val="footer"/>
    <w:basedOn w:val="DHHSfooter"/>
    <w:link w:val="FooterChar"/>
    <w:uiPriority w:val="99"/>
    <w:rsid w:val="0031753A"/>
  </w:style>
  <w:style w:type="character" w:styleId="FollowedHyperlink">
    <w:name w:val="FollowedHyperlink"/>
    <w:uiPriority w:val="99"/>
    <w:rsid w:val="007F6862"/>
    <w:rPr>
      <w:color w:val="87189D"/>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39"/>
    <w:rsid w:val="00DE7B0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A18B6"/>
    <w:pPr>
      <w:spacing w:after="120" w:line="380" w:lineRule="atLeast"/>
      <w:ind w:left="1701"/>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F762A0"/>
    <w:pPr>
      <w:keepLines/>
      <w:spacing w:before="3500" w:after="240" w:line="580" w:lineRule="atLeast"/>
      <w:ind w:left="1701"/>
    </w:pPr>
    <w:rPr>
      <w:rFonts w:ascii="Arial" w:hAnsi="Arial"/>
      <w:color w:val="87189D"/>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DE7B07"/>
    <w:pPr>
      <w:keepNext/>
      <w:keepLines/>
      <w:tabs>
        <w:tab w:val="right" w:leader="dot" w:pos="9299"/>
      </w:tabs>
      <w:spacing w:before="160" w:after="60" w:line="270" w:lineRule="atLeast"/>
    </w:pPr>
    <w:rPr>
      <w:rFonts w:ascii="Arial" w:hAnsi="Arial"/>
      <w:b/>
      <w:noProof/>
    </w:rPr>
  </w:style>
  <w:style w:type="paragraph" w:styleId="TOC2">
    <w:name w:val="toc 2"/>
    <w:basedOn w:val="Normal"/>
    <w:next w:val="Normal"/>
    <w:uiPriority w:val="39"/>
    <w:rsid w:val="000C3632"/>
    <w:pPr>
      <w:keepLines/>
      <w:tabs>
        <w:tab w:val="right" w:leader="dot" w:pos="9299"/>
      </w:tabs>
      <w:spacing w:after="60" w:line="270" w:lineRule="atLeast"/>
    </w:pPr>
    <w:rPr>
      <w:rFonts w:ascii="Arial" w:hAnsi="Arial"/>
      <w:noProof/>
    </w:rPr>
  </w:style>
  <w:style w:type="paragraph" w:styleId="TOC3">
    <w:name w:val="toc 3"/>
    <w:basedOn w:val="Normal"/>
    <w:next w:val="Normal"/>
    <w:uiPriority w:val="39"/>
    <w:rsid w:val="00DE7B07"/>
    <w:pPr>
      <w:keepLines/>
      <w:tabs>
        <w:tab w:val="right" w:leader="dot" w:pos="9299"/>
      </w:tabs>
      <w:spacing w:after="60" w:line="270" w:lineRule="atLeast"/>
      <w:ind w:left="284"/>
    </w:pPr>
    <w:rPr>
      <w:rFonts w:ascii="Arial" w:hAnsi="Arial" w:cs="Arial"/>
    </w:rPr>
  </w:style>
  <w:style w:type="paragraph" w:styleId="TOC4">
    <w:name w:val="toc 4"/>
    <w:basedOn w:val="TOC3"/>
    <w:uiPriority w:val="39"/>
    <w:rsid w:val="00B126CB"/>
    <w:pPr>
      <w:ind w:left="567"/>
    </w:pPr>
  </w:style>
  <w:style w:type="paragraph" w:styleId="TOC5">
    <w:name w:val="toc 5"/>
    <w:basedOn w:val="TOC4"/>
    <w:rsid w:val="00B126CB"/>
    <w:pPr>
      <w:ind w:left="851"/>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cover">
    <w:name w:val="DHHS report main title cover"/>
    <w:uiPriority w:val="4"/>
    <w:rsid w:val="00A94D93"/>
    <w:pPr>
      <w:keepLines/>
      <w:spacing w:after="240" w:line="580" w:lineRule="atLeast"/>
    </w:pPr>
    <w:rPr>
      <w:rFonts w:ascii="Arial" w:hAnsi="Arial"/>
      <w:bCs/>
      <w:color w:val="FFFFFF"/>
      <w:sz w:val="50"/>
      <w:szCs w:val="50"/>
      <w:lang w:eastAsia="en-US"/>
    </w:rPr>
  </w:style>
  <w:style w:type="paragraph" w:customStyle="1" w:styleId="DHHSreportsubtitlecover">
    <w:name w:val="DHHS report subtitle cover"/>
    <w:uiPriority w:val="4"/>
    <w:rsid w:val="00A94D93"/>
    <w:pPr>
      <w:spacing w:after="120" w:line="380" w:lineRule="atLeast"/>
    </w:pPr>
    <w:rPr>
      <w:rFonts w:ascii="Arial" w:hAnsi="Arial"/>
      <w:bCs/>
      <w:color w:val="FFFFFF"/>
      <w:sz w:val="30"/>
      <w:szCs w:val="30"/>
      <w:lang w:eastAsia="en-US"/>
    </w:rPr>
  </w:style>
  <w:style w:type="character" w:customStyle="1" w:styleId="Heading5Char">
    <w:name w:val="Heading 5 Char"/>
    <w:link w:val="Heading5"/>
    <w:uiPriority w:val="9"/>
    <w:rsid w:val="00EE3633"/>
    <w:rPr>
      <w:rFonts w:ascii="Arial" w:eastAsia="MS Mincho" w:hAnsi="Arial"/>
      <w:b/>
      <w:bCs/>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9850FF"/>
    <w:pPr>
      <w:numPr>
        <w:numId w:val="2"/>
      </w:numPr>
      <w:spacing w:after="40"/>
    </w:pPr>
  </w:style>
  <w:style w:type="paragraph" w:customStyle="1" w:styleId="DHHSnumberloweralpha">
    <w:name w:val="DHHS number lower alpha"/>
    <w:basedOn w:val="DHHSbody"/>
    <w:uiPriority w:val="3"/>
    <w:rsid w:val="009850FF"/>
    <w:pPr>
      <w:numPr>
        <w:numId w:val="20"/>
      </w:numPr>
    </w:pPr>
  </w:style>
  <w:style w:type="paragraph" w:customStyle="1" w:styleId="DHHSnumberloweralphaindent">
    <w:name w:val="DHHS number lower alpha indent"/>
    <w:basedOn w:val="DHHSbody"/>
    <w:uiPriority w:val="3"/>
    <w:rsid w:val="009850FF"/>
    <w:pPr>
      <w:numPr>
        <w:ilvl w:val="1"/>
        <w:numId w:val="20"/>
      </w:numPr>
    </w:pPr>
  </w:style>
  <w:style w:type="paragraph" w:customStyle="1" w:styleId="DHHStablefigurenote">
    <w:name w:val="DHHS table/figure note"/>
    <w:uiPriority w:val="4"/>
    <w:rsid w:val="008A5B97"/>
    <w:pPr>
      <w:spacing w:before="60" w:after="60" w:line="240" w:lineRule="exact"/>
    </w:pPr>
    <w:rPr>
      <w:rFonts w:ascii="Arial" w:hAnsi="Arial"/>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9850FF"/>
    <w:pPr>
      <w:numPr>
        <w:ilvl w:val="1"/>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9850FF"/>
    <w:pPr>
      <w:numPr>
        <w:numId w:val="17"/>
      </w:numPr>
    </w:pPr>
  </w:style>
  <w:style w:type="paragraph" w:customStyle="1" w:styleId="DHHStablecolhead">
    <w:name w:val="DHHS table col head"/>
    <w:uiPriority w:val="3"/>
    <w:qFormat/>
    <w:rsid w:val="00F762A0"/>
    <w:pPr>
      <w:spacing w:before="80" w:after="60"/>
    </w:pPr>
    <w:rPr>
      <w:rFonts w:ascii="Arial" w:hAnsi="Arial"/>
      <w:b/>
      <w:color w:val="87189D"/>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TOCheadingreport">
    <w:name w:val="DHHS TOC heading report"/>
    <w:basedOn w:val="Heading1"/>
    <w:link w:val="DHHSTOCheadingreportChar"/>
    <w:uiPriority w:val="5"/>
    <w:rsid w:val="00E0374E"/>
    <w:pPr>
      <w:spacing w:before="0"/>
      <w:outlineLvl w:val="9"/>
    </w:pPr>
  </w:style>
  <w:style w:type="character" w:customStyle="1" w:styleId="DHHSTOCheadingreportChar">
    <w:name w:val="DHHS TOC heading report Char"/>
    <w:link w:val="DHHSTOCheadingreport"/>
    <w:uiPriority w:val="5"/>
    <w:rsid w:val="00E0374E"/>
    <w:rPr>
      <w:rFonts w:ascii="Arial" w:hAnsi="Arial"/>
      <w:bCs/>
      <w:color w:val="C5511A"/>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9850FF"/>
    <w:pPr>
      <w:numPr>
        <w:numId w:val="2"/>
      </w:numPr>
    </w:pPr>
  </w:style>
  <w:style w:type="paragraph" w:customStyle="1" w:styleId="DHHSnumberlowerroman">
    <w:name w:val="DHHS number lower roman"/>
    <w:basedOn w:val="DHHSbody"/>
    <w:uiPriority w:val="3"/>
    <w:rsid w:val="009850FF"/>
    <w:pPr>
      <w:numPr>
        <w:numId w:val="23"/>
      </w:numPr>
    </w:pPr>
  </w:style>
  <w:style w:type="paragraph" w:customStyle="1" w:styleId="DHHSnumberlowerromanindent">
    <w:name w:val="DHHS number lower roman indent"/>
    <w:basedOn w:val="DHHSbody"/>
    <w:uiPriority w:val="3"/>
    <w:rsid w:val="009850FF"/>
    <w:pPr>
      <w:numPr>
        <w:ilvl w:val="1"/>
        <w:numId w:val="23"/>
      </w:numPr>
    </w:pPr>
  </w:style>
  <w:style w:type="paragraph" w:customStyle="1" w:styleId="DHHSnumberdigitindent">
    <w:name w:val="DHHS number digit indent"/>
    <w:basedOn w:val="DHHSnumberloweralphaindent"/>
    <w:uiPriority w:val="3"/>
    <w:rsid w:val="009850FF"/>
    <w:pPr>
      <w:numPr>
        <w:numId w:val="17"/>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DHHSbodyafterbullets">
    <w:name w:val="DHHS body after bullets"/>
    <w:basedOn w:val="DHHSbody"/>
    <w:uiPriority w:val="11"/>
    <w:rsid w:val="008669BE"/>
    <w:pPr>
      <w:spacing w:before="120"/>
    </w:pPr>
  </w:style>
  <w:style w:type="paragraph" w:customStyle="1" w:styleId="DHHSbulletafternumbers1">
    <w:name w:val="DHHS bullet after numbers 1"/>
    <w:basedOn w:val="DHHSbody"/>
    <w:uiPriority w:val="4"/>
    <w:rsid w:val="009850FF"/>
    <w:pPr>
      <w:numPr>
        <w:ilvl w:val="2"/>
        <w:numId w:val="17"/>
      </w:numPr>
    </w:pPr>
  </w:style>
  <w:style w:type="paragraph" w:customStyle="1" w:styleId="DHHSbulletafternumbers2">
    <w:name w:val="DHHS bullet after numbers 2"/>
    <w:basedOn w:val="DHHSbody"/>
    <w:rsid w:val="009850FF"/>
    <w:pPr>
      <w:numPr>
        <w:ilvl w:val="3"/>
        <w:numId w:val="17"/>
      </w:numPr>
    </w:pPr>
  </w:style>
  <w:style w:type="paragraph" w:customStyle="1" w:styleId="DHHSquotebullet1">
    <w:name w:val="DHHS quote bullet 1"/>
    <w:basedOn w:val="DHHSquote"/>
    <w:rsid w:val="009850FF"/>
    <w:pPr>
      <w:numPr>
        <w:numId w:val="25"/>
      </w:numPr>
    </w:pPr>
  </w:style>
  <w:style w:type="paragraph" w:customStyle="1" w:styleId="DHHSquotebullet2">
    <w:name w:val="DHHS quote bullet 2"/>
    <w:basedOn w:val="DHHSquote"/>
    <w:rsid w:val="009850FF"/>
    <w:pPr>
      <w:numPr>
        <w:ilvl w:val="1"/>
        <w:numId w:val="25"/>
      </w:numPr>
    </w:pPr>
  </w:style>
  <w:style w:type="paragraph" w:customStyle="1" w:styleId="DHHStablebullet1">
    <w:name w:val="DHHS table bullet 1"/>
    <w:basedOn w:val="DHHStabletext"/>
    <w:uiPriority w:val="3"/>
    <w:qFormat/>
    <w:rsid w:val="009850FF"/>
    <w:pPr>
      <w:numPr>
        <w:numId w:val="27"/>
      </w:numPr>
    </w:pPr>
  </w:style>
  <w:style w:type="paragraph" w:customStyle="1" w:styleId="DHHStablebullet2">
    <w:name w:val="DHHS table bullet 2"/>
    <w:basedOn w:val="DHHStabletext"/>
    <w:uiPriority w:val="11"/>
    <w:rsid w:val="009850FF"/>
    <w:pPr>
      <w:numPr>
        <w:ilvl w:val="1"/>
        <w:numId w:val="27"/>
      </w:numPr>
    </w:pPr>
  </w:style>
  <w:style w:type="numbering" w:customStyle="1" w:styleId="ZZNumbersdigit">
    <w:name w:val="ZZ Numbers digit"/>
    <w:rsid w:val="009850FF"/>
    <w:pPr>
      <w:numPr>
        <w:numId w:val="17"/>
      </w:numPr>
    </w:pPr>
  </w:style>
  <w:style w:type="numbering" w:customStyle="1" w:styleId="ZZNumbersloweralpha">
    <w:name w:val="ZZ Numbers lower alpha"/>
    <w:basedOn w:val="NoList"/>
    <w:rsid w:val="009850FF"/>
    <w:pPr>
      <w:numPr>
        <w:numId w:val="20"/>
      </w:numPr>
    </w:pPr>
  </w:style>
  <w:style w:type="numbering" w:customStyle="1" w:styleId="ZZQuotebullets">
    <w:name w:val="ZZ Quote bullets"/>
    <w:basedOn w:val="ZZNumbersdigit"/>
    <w:rsid w:val="009850FF"/>
    <w:pPr>
      <w:numPr>
        <w:numId w:val="25"/>
      </w:numPr>
    </w:pPr>
  </w:style>
  <w:style w:type="numbering" w:customStyle="1" w:styleId="ZZNumberslowerroman">
    <w:name w:val="ZZ Numbers lower roman"/>
    <w:basedOn w:val="ZZQuotebullets"/>
    <w:rsid w:val="009850FF"/>
    <w:pPr>
      <w:numPr>
        <w:numId w:val="23"/>
      </w:numPr>
    </w:pPr>
  </w:style>
  <w:style w:type="numbering" w:customStyle="1" w:styleId="ZZTablebullets">
    <w:name w:val="ZZ Table bullets"/>
    <w:basedOn w:val="NoList"/>
    <w:rsid w:val="009850FF"/>
    <w:pPr>
      <w:numPr>
        <w:numId w:val="27"/>
      </w:numPr>
    </w:pPr>
  </w:style>
  <w:style w:type="character" w:customStyle="1" w:styleId="DHHSbodyChar">
    <w:name w:val="DHHS body Char"/>
    <w:basedOn w:val="DefaultParagraphFont"/>
    <w:link w:val="DHHSbody"/>
    <w:rsid w:val="006A18B6"/>
    <w:rPr>
      <w:rFonts w:ascii="Arial" w:eastAsia="Times" w:hAnsi="Arial"/>
      <w:lang w:eastAsia="en-US"/>
    </w:rPr>
  </w:style>
  <w:style w:type="character" w:customStyle="1" w:styleId="FooterChar">
    <w:name w:val="Footer Char"/>
    <w:basedOn w:val="DefaultParagraphFont"/>
    <w:link w:val="Footer"/>
    <w:uiPriority w:val="99"/>
    <w:rsid w:val="0071797D"/>
    <w:rPr>
      <w:rFonts w:ascii="Arial" w:hAnsi="Arial" w:cs="Arial"/>
      <w:sz w:val="18"/>
      <w:szCs w:val="18"/>
      <w:lang w:eastAsia="en-US"/>
    </w:rPr>
  </w:style>
  <w:style w:type="character" w:styleId="UnresolvedMention">
    <w:name w:val="Unresolved Mention"/>
    <w:basedOn w:val="DefaultParagraphFont"/>
    <w:uiPriority w:val="99"/>
    <w:semiHidden/>
    <w:unhideWhenUsed/>
    <w:rsid w:val="00B26C1D"/>
    <w:rPr>
      <w:color w:val="605E5C"/>
      <w:shd w:val="clear" w:color="auto" w:fill="E1DFDD"/>
    </w:rPr>
  </w:style>
  <w:style w:type="paragraph" w:styleId="BalloonText">
    <w:name w:val="Balloon Text"/>
    <w:basedOn w:val="Normal"/>
    <w:link w:val="BalloonTextChar"/>
    <w:uiPriority w:val="99"/>
    <w:semiHidden/>
    <w:unhideWhenUsed/>
    <w:rsid w:val="008B22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23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857175">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779517981">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housing.vic.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privacy@dhhs.vic.gov.au" TargetMode="External"/><Relationship Id="rId2" Type="http://schemas.openxmlformats.org/officeDocument/2006/relationships/numbering" Target="numbering.xml"/><Relationship Id="rId16" Type="http://schemas.openxmlformats.org/officeDocument/2006/relationships/hyperlink" Target="https://intranet.dhhs.vic.gov.au/priva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Visual%20style\DHHS%20Report%2002%20Purple%2026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98420-09AA-40A3-8476-72BD9D18E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Report 02 Purple 2602.dotx</Template>
  <TotalTime>88</TotalTime>
  <Pages>14</Pages>
  <Words>2794</Words>
  <Characters>16449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RentAssist bond online form privacy impact assessment</vt:lpstr>
    </vt:vector>
  </TitlesOfParts>
  <Company>Department of Health and Human Services</Company>
  <LinksUpToDate>false</LinksUpToDate>
  <CharactersWithSpaces>19205</CharactersWithSpaces>
  <SharedDoc>false</SharedDoc>
  <HyperlinkBase/>
  <HLinks>
    <vt:vector size="66" baseType="variant">
      <vt:variant>
        <vt:i4>7864376</vt:i4>
      </vt:variant>
      <vt:variant>
        <vt:i4>54</vt:i4>
      </vt:variant>
      <vt:variant>
        <vt:i4>0</vt:i4>
      </vt:variant>
      <vt:variant>
        <vt:i4>5</vt:i4>
      </vt:variant>
      <vt:variant>
        <vt:lpwstr>https://intranet.dhhs.vic.gov.au/templates-our-visual-style</vt:lpwstr>
      </vt:variant>
      <vt:variant>
        <vt:lpwstr/>
      </vt:variant>
      <vt:variant>
        <vt:i4>1048626</vt:i4>
      </vt:variant>
      <vt:variant>
        <vt:i4>47</vt:i4>
      </vt:variant>
      <vt:variant>
        <vt:i4>0</vt:i4>
      </vt:variant>
      <vt:variant>
        <vt:i4>5</vt:i4>
      </vt:variant>
      <vt:variant>
        <vt:lpwstr/>
      </vt:variant>
      <vt:variant>
        <vt:lpwstr>_Toc442704404</vt:lpwstr>
      </vt:variant>
      <vt:variant>
        <vt:i4>1048626</vt:i4>
      </vt:variant>
      <vt:variant>
        <vt:i4>41</vt:i4>
      </vt:variant>
      <vt:variant>
        <vt:i4>0</vt:i4>
      </vt:variant>
      <vt:variant>
        <vt:i4>5</vt:i4>
      </vt:variant>
      <vt:variant>
        <vt:lpwstr/>
      </vt:variant>
      <vt:variant>
        <vt:lpwstr>_Toc442704403</vt:lpwstr>
      </vt:variant>
      <vt:variant>
        <vt:i4>1048626</vt:i4>
      </vt:variant>
      <vt:variant>
        <vt:i4>35</vt:i4>
      </vt:variant>
      <vt:variant>
        <vt:i4>0</vt:i4>
      </vt:variant>
      <vt:variant>
        <vt:i4>5</vt:i4>
      </vt:variant>
      <vt:variant>
        <vt:lpwstr/>
      </vt:variant>
      <vt:variant>
        <vt:lpwstr>_Toc442704402</vt:lpwstr>
      </vt:variant>
      <vt:variant>
        <vt:i4>1048626</vt:i4>
      </vt:variant>
      <vt:variant>
        <vt:i4>29</vt:i4>
      </vt:variant>
      <vt:variant>
        <vt:i4>0</vt:i4>
      </vt:variant>
      <vt:variant>
        <vt:i4>5</vt:i4>
      </vt:variant>
      <vt:variant>
        <vt:lpwstr/>
      </vt:variant>
      <vt:variant>
        <vt:lpwstr>_Toc442704401</vt:lpwstr>
      </vt:variant>
      <vt:variant>
        <vt:i4>1048626</vt:i4>
      </vt:variant>
      <vt:variant>
        <vt:i4>23</vt:i4>
      </vt:variant>
      <vt:variant>
        <vt:i4>0</vt:i4>
      </vt:variant>
      <vt:variant>
        <vt:i4>5</vt:i4>
      </vt:variant>
      <vt:variant>
        <vt:lpwstr/>
      </vt:variant>
      <vt:variant>
        <vt:lpwstr>_Toc442704400</vt:lpwstr>
      </vt:variant>
      <vt:variant>
        <vt:i4>1638453</vt:i4>
      </vt:variant>
      <vt:variant>
        <vt:i4>17</vt:i4>
      </vt:variant>
      <vt:variant>
        <vt:i4>0</vt:i4>
      </vt:variant>
      <vt:variant>
        <vt:i4>5</vt:i4>
      </vt:variant>
      <vt:variant>
        <vt:lpwstr/>
      </vt:variant>
      <vt:variant>
        <vt:lpwstr>_Toc442704399</vt:lpwstr>
      </vt:variant>
      <vt:variant>
        <vt:i4>1638453</vt:i4>
      </vt:variant>
      <vt:variant>
        <vt:i4>11</vt:i4>
      </vt:variant>
      <vt:variant>
        <vt:i4>0</vt:i4>
      </vt:variant>
      <vt:variant>
        <vt:i4>5</vt:i4>
      </vt:variant>
      <vt:variant>
        <vt:lpwstr/>
      </vt:variant>
      <vt:variant>
        <vt:lpwstr>_Toc442704398</vt:lpwstr>
      </vt:variant>
      <vt:variant>
        <vt:i4>7602296</vt:i4>
      </vt:variant>
      <vt:variant>
        <vt:i4>6</vt:i4>
      </vt:variant>
      <vt:variant>
        <vt:i4>0</vt:i4>
      </vt:variant>
      <vt:variant>
        <vt:i4>5</vt:i4>
      </vt:variant>
      <vt:variant>
        <vt:lpwstr>https://intranet.dhhs.vic.gov.au/graphic-design-process</vt:lpwstr>
      </vt:variant>
      <vt:variant>
        <vt:lpwstr/>
      </vt:variant>
      <vt:variant>
        <vt:i4>7209064</vt:i4>
      </vt:variant>
      <vt:variant>
        <vt:i4>3</vt:i4>
      </vt:variant>
      <vt:variant>
        <vt:i4>0</vt:i4>
      </vt:variant>
      <vt:variant>
        <vt:i4>5</vt:i4>
      </vt:variant>
      <vt:variant>
        <vt:lpwstr>https://intranet.dhhs.vic.gov.au/print-and-distribute-communications-materials</vt:lpwstr>
      </vt:variant>
      <vt:variant>
        <vt:lpwstr/>
      </vt:variant>
      <vt:variant>
        <vt:i4>7143443</vt:i4>
      </vt:variant>
      <vt:variant>
        <vt:i4>0</vt:i4>
      </vt:variant>
      <vt:variant>
        <vt:i4>0</vt:i4>
      </vt:variant>
      <vt:variant>
        <vt:i4>5</vt:i4>
      </vt:variant>
      <vt:variant>
        <vt:lpwstr>http://library.intranet.vic.gov.au/client/en_AU/vglsweb-depi/?rm=ISBN0%7C%7C%7C1%7C%7C%7C0%7C%7C%7Ctrue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RentAssist bond online form privacy impact assessment</dc:title>
  <dc:subject/>
  <dc:creator>Service Implementation and Support Branch</dc:creator>
  <cp:keywords/>
  <cp:lastModifiedBy>Janet Westwood (DHHS)</cp:lastModifiedBy>
  <cp:revision>8</cp:revision>
  <cp:lastPrinted>2017-07-07T00:32:00Z</cp:lastPrinted>
  <dcterms:created xsi:type="dcterms:W3CDTF">2020-09-24T02:12:00Z</dcterms:created>
  <dcterms:modified xsi:type="dcterms:W3CDTF">2020-09-24T03:57:00Z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iteId">
    <vt:lpwstr>c0e0601f-0fac-449c-9c88-a104c4eb9f28</vt:lpwstr>
  </property>
  <property fmtid="{D5CDD505-2E9C-101B-9397-08002B2CF9AE}" pid="5" name="MSIP_Label_43e64453-338c-4f93-8a4d-0039a0a41f2a_Owner">
    <vt:lpwstr>Marg.Osborne@dhhs.vic.gov.au</vt:lpwstr>
  </property>
  <property fmtid="{D5CDD505-2E9C-101B-9397-08002B2CF9AE}" pid="6" name="MSIP_Label_43e64453-338c-4f93-8a4d-0039a0a41f2a_SetDate">
    <vt:lpwstr>2020-09-24T02:30:36.6526801Z</vt:lpwstr>
  </property>
  <property fmtid="{D5CDD505-2E9C-101B-9397-08002B2CF9AE}" pid="7" name="MSIP_Label_43e64453-338c-4f93-8a4d-0039a0a41f2a_Name">
    <vt:lpwstr>OFFICIAL</vt:lpwstr>
  </property>
  <property fmtid="{D5CDD505-2E9C-101B-9397-08002B2CF9AE}" pid="8" name="MSIP_Label_43e64453-338c-4f93-8a4d-0039a0a41f2a_Application">
    <vt:lpwstr>Microsoft Azure Information Protection</vt:lpwstr>
  </property>
  <property fmtid="{D5CDD505-2E9C-101B-9397-08002B2CF9AE}" pid="9" name="MSIP_Label_43e64453-338c-4f93-8a4d-0039a0a41f2a_ActionId">
    <vt:lpwstr>efd6258b-a707-408b-b20c-476f16d5474f</vt:lpwstr>
  </property>
  <property fmtid="{D5CDD505-2E9C-101B-9397-08002B2CF9AE}" pid="10" name="MSIP_Label_43e64453-338c-4f93-8a4d-0039a0a41f2a_Extended_MSFT_Method">
    <vt:lpwstr>Manual</vt:lpwstr>
  </property>
  <property fmtid="{D5CDD505-2E9C-101B-9397-08002B2CF9AE}" pid="11" name="Sensitivity">
    <vt:lpwstr>OFFICIAL</vt:lpwstr>
  </property>
</Properties>
</file>